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0D582CB" w:rsidR="00E203C2" w:rsidRDefault="00E203C2" w:rsidP="00E203C2">
      <w:r>
        <w:rPr>
          <w:noProof/>
          <w:lang w:eastAsia="en-GB" w:bidi="ar-SA"/>
        </w:rPr>
        <w:drawing>
          <wp:inline distT="0" distB="0" distL="0" distR="0" wp14:anchorId="4A2E7454" wp14:editId="733199B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6B1F174B" w14:textId="528080C7" w:rsidR="00AB3FCF" w:rsidRPr="00AD2279" w:rsidRDefault="00AD2279" w:rsidP="00AB3FCF">
      <w:pPr>
        <w:rPr>
          <w:b/>
          <w:sz w:val="28"/>
          <w:szCs w:val="28"/>
        </w:rPr>
      </w:pPr>
      <w:r w:rsidRPr="00AD2279">
        <w:rPr>
          <w:b/>
          <w:sz w:val="28"/>
          <w:szCs w:val="28"/>
        </w:rPr>
        <w:t>5 September 2019</w:t>
      </w:r>
    </w:p>
    <w:p w14:paraId="22CD8FAF" w14:textId="18FB7A59" w:rsidR="00AB3FCF" w:rsidRPr="00AD2279" w:rsidRDefault="00AB3FCF" w:rsidP="00AB3FCF">
      <w:pPr>
        <w:rPr>
          <w:b/>
          <w:sz w:val="28"/>
          <w:szCs w:val="28"/>
        </w:rPr>
      </w:pPr>
      <w:r w:rsidRPr="00AD2279">
        <w:rPr>
          <w:b/>
          <w:sz w:val="28"/>
          <w:szCs w:val="28"/>
        </w:rPr>
        <w:t>[</w:t>
      </w:r>
      <w:r w:rsidR="00AD2279" w:rsidRPr="00AD2279">
        <w:rPr>
          <w:b/>
          <w:sz w:val="28"/>
          <w:szCs w:val="28"/>
        </w:rPr>
        <w:t>93-19</w:t>
      </w:r>
      <w:r w:rsidRPr="00AD2279">
        <w:rPr>
          <w:b/>
          <w:sz w:val="28"/>
          <w:szCs w:val="28"/>
        </w:rPr>
        <w:t>]</w:t>
      </w:r>
      <w:bookmarkStart w:id="0" w:name="_GoBack"/>
      <w:bookmarkEnd w:id="0"/>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5BC21F0B"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rsidR="0087175E">
        <w:t>71</w:t>
      </w:r>
    </w:p>
    <w:p w14:paraId="004DEE3E" w14:textId="2BEE3148" w:rsidR="00AF0509" w:rsidRPr="00C709B3" w:rsidRDefault="0087175E" w:rsidP="008E436B">
      <w:pPr>
        <w:pStyle w:val="FSTitle"/>
      </w:pPr>
      <w:r>
        <w:t>Endo-inulinase</w:t>
      </w:r>
      <w:r w:rsidR="00AB3FCF">
        <w:t xml:space="preserve"> from </w:t>
      </w:r>
      <w:r>
        <w:rPr>
          <w:i/>
        </w:rPr>
        <w:t>Aspergillus oryzae</w:t>
      </w:r>
      <w:r w:rsidR="00AF0509">
        <w:t xml:space="preserve"> as a processing aid (enzyme)</w:t>
      </w:r>
    </w:p>
    <w:p w14:paraId="61101A5D" w14:textId="23A8A6CA"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16848700"/>
      <w:r w:rsidRPr="00092CDA">
        <w:t xml:space="preserve">Executive </w:t>
      </w:r>
      <w:r w:rsidR="00B12F1E">
        <w:t>s</w:t>
      </w:r>
      <w:r w:rsidRPr="00092CDA">
        <w:t>ummary</w:t>
      </w:r>
      <w:bookmarkEnd w:id="1"/>
      <w:bookmarkEnd w:id="2"/>
      <w:bookmarkEnd w:id="3"/>
      <w:bookmarkEnd w:id="4"/>
      <w:bookmarkEnd w:id="5"/>
    </w:p>
    <w:p w14:paraId="498F5393" w14:textId="6D0F079A" w:rsidR="00653E10" w:rsidRDefault="00653E10" w:rsidP="00653E10">
      <w:pPr>
        <w:rPr>
          <w:lang w:val="en-AU"/>
        </w:rPr>
      </w:pPr>
      <w:r>
        <w:rPr>
          <w:lang w:val="en-AU"/>
        </w:rPr>
        <w:t xml:space="preserve">The purpose of the </w:t>
      </w:r>
      <w:r w:rsidR="00A710D7">
        <w:rPr>
          <w:lang w:val="en-AU"/>
        </w:rPr>
        <w:t>a</w:t>
      </w:r>
      <w:r>
        <w:rPr>
          <w:lang w:val="en-AU"/>
        </w:rPr>
        <w:t xml:space="preserve">pplication is to amend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w:t>
      </w:r>
      <w:r w:rsidR="0087175E">
        <w:rPr>
          <w:lang w:val="en-AU"/>
        </w:rPr>
        <w:t>endo-inulinase</w:t>
      </w:r>
      <w:r w:rsidR="00AB3FCF" w:rsidRPr="00AB3FCF">
        <w:rPr>
          <w:lang w:val="en-AU"/>
        </w:rPr>
        <w:t xml:space="preserve"> (EC 3.2.1.</w:t>
      </w:r>
      <w:r w:rsidR="0087175E">
        <w:rPr>
          <w:lang w:val="en-AU"/>
        </w:rPr>
        <w:t>7</w:t>
      </w:r>
      <w:r w:rsidR="00AB3FCF" w:rsidRPr="00AB3FCF">
        <w:rPr>
          <w:lang w:val="en-AU"/>
        </w:rPr>
        <w:t xml:space="preserve">), from a genetically modified strain of </w:t>
      </w:r>
      <w:r w:rsidR="0087175E">
        <w:rPr>
          <w:i/>
          <w:lang w:val="en-AU"/>
        </w:rPr>
        <w:t>Aspergillus oryzae</w:t>
      </w:r>
      <w:r w:rsidR="00966ACB">
        <w:rPr>
          <w:i/>
          <w:lang w:val="en-AU"/>
        </w:rPr>
        <w:t>.</w:t>
      </w:r>
      <w:r w:rsidR="0028261F">
        <w:rPr>
          <w:i/>
          <w:lang w:val="en-AU"/>
        </w:rPr>
        <w:t xml:space="preserve"> </w:t>
      </w:r>
      <w:r w:rsidR="009B7333">
        <w:rPr>
          <w:lang w:val="en-AU"/>
        </w:rPr>
        <w:t xml:space="preserve">This production organism </w:t>
      </w:r>
      <w:r w:rsidR="009B7333" w:rsidRPr="0028261F">
        <w:rPr>
          <w:lang w:val="en-AU"/>
        </w:rPr>
        <w:t>contain</w:t>
      </w:r>
      <w:r w:rsidR="009B7333">
        <w:rPr>
          <w:lang w:val="en-AU"/>
        </w:rPr>
        <w:t>s</w:t>
      </w:r>
      <w:r w:rsidR="009B7333" w:rsidRPr="0028261F">
        <w:rPr>
          <w:lang w:val="en-AU"/>
        </w:rPr>
        <w:t xml:space="preserve"> </w:t>
      </w:r>
      <w:r w:rsidR="0028261F" w:rsidRPr="0028261F">
        <w:rPr>
          <w:lang w:val="en-AU"/>
        </w:rPr>
        <w:t xml:space="preserve">the </w:t>
      </w:r>
      <w:r w:rsidR="0087175E">
        <w:rPr>
          <w:lang w:val="en-AU"/>
        </w:rPr>
        <w:t xml:space="preserve">endo-inulinase </w:t>
      </w:r>
      <w:r w:rsidR="0028261F" w:rsidRPr="0028261F">
        <w:rPr>
          <w:lang w:val="en-AU"/>
        </w:rPr>
        <w:t>gene from</w:t>
      </w:r>
      <w:r w:rsidR="0028261F" w:rsidRPr="0028261F">
        <w:rPr>
          <w:i/>
          <w:lang w:val="en-AU"/>
        </w:rPr>
        <w:t xml:space="preserve"> </w:t>
      </w:r>
      <w:r w:rsidR="0087175E">
        <w:rPr>
          <w:i/>
          <w:lang w:val="en-AU"/>
        </w:rPr>
        <w:t>Aspergillus ficuum</w:t>
      </w:r>
      <w:r w:rsidR="007863B6">
        <w:rPr>
          <w:i/>
          <w:lang w:val="en-AU"/>
        </w:rPr>
        <w:t xml:space="preserve">. </w:t>
      </w:r>
      <w:r w:rsidR="007863B6">
        <w:rPr>
          <w:lang w:val="en-AU"/>
        </w:rPr>
        <w:t xml:space="preserve">Endo-inulinase </w:t>
      </w:r>
      <w:r w:rsidR="009B7333">
        <w:rPr>
          <w:lang w:val="en-AU"/>
        </w:rPr>
        <w:t xml:space="preserve">is proposed </w:t>
      </w:r>
      <w:r w:rsidR="00810C2A">
        <w:rPr>
          <w:lang w:val="en-AU"/>
        </w:rPr>
        <w:t>for use</w:t>
      </w:r>
      <w:r w:rsidR="00AB3FCF" w:rsidRPr="00AB3FCF">
        <w:rPr>
          <w:lang w:val="en-AU"/>
        </w:rPr>
        <w:t xml:space="preserve"> in </w:t>
      </w:r>
      <w:r w:rsidR="0087175E">
        <w:rPr>
          <w:lang w:val="en-AU"/>
        </w:rPr>
        <w:t xml:space="preserve">hydrolysing inulin to produce </w:t>
      </w:r>
      <w:r w:rsidR="0087175E" w:rsidRPr="0087175E">
        <w:rPr>
          <w:lang w:val="en-AU"/>
        </w:rPr>
        <w:t>fructo-oligosacchar</w:t>
      </w:r>
      <w:r w:rsidR="0087175E">
        <w:rPr>
          <w:lang w:val="en-AU"/>
        </w:rPr>
        <w:t>ides (FOS).</w:t>
      </w:r>
    </w:p>
    <w:p w14:paraId="4AADD9FD" w14:textId="77777777" w:rsidR="0087175E" w:rsidRDefault="0087175E" w:rsidP="00653E10">
      <w:pPr>
        <w:rPr>
          <w:color w:val="00B050"/>
          <w:lang w:val="en-AU"/>
        </w:rPr>
      </w:pPr>
    </w:p>
    <w:p w14:paraId="21C37209" w14:textId="45C3A04F" w:rsidR="00653E10" w:rsidRPr="004E38D4"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w:t>
      </w:r>
      <w:r w:rsidR="00F279DD">
        <w:rPr>
          <w:lang w:val="en-AU"/>
        </w:rPr>
        <w:t xml:space="preserve">its recommended </w:t>
      </w:r>
      <w:r w:rsidRPr="0084305A">
        <w:rPr>
          <w:lang w:val="en-AU"/>
        </w:rPr>
        <w:t xml:space="preserve">form and </w:t>
      </w:r>
      <w:r w:rsidR="0084305A" w:rsidRPr="0084305A">
        <w:rPr>
          <w:lang w:val="en-AU"/>
        </w:rPr>
        <w:t>amounts,</w:t>
      </w:r>
      <w:r w:rsidRPr="0084305A">
        <w:rPr>
          <w:lang w:val="en-AU"/>
        </w:rPr>
        <w:t xml:space="preserve"> is technologically justified and has been demonstrated to be effective</w:t>
      </w:r>
      <w:r w:rsidR="00F279DD">
        <w:rPr>
          <w:lang w:val="en-AU"/>
        </w:rPr>
        <w:t xml:space="preserve"> in achieving its stated purpose</w:t>
      </w:r>
      <w:r w:rsidRPr="0084305A">
        <w:rPr>
          <w:lang w:val="en-AU"/>
        </w:rPr>
        <w:t>. The enzyme meets international purity specifications</w:t>
      </w:r>
      <w:r w:rsidRPr="004E38D4">
        <w:rPr>
          <w:lang w:val="en-AU"/>
        </w:rPr>
        <w:t>.</w:t>
      </w:r>
    </w:p>
    <w:p w14:paraId="5592E66C" w14:textId="77777777" w:rsidR="0084305A" w:rsidRPr="004E38D4" w:rsidRDefault="0084305A" w:rsidP="00653E10">
      <w:pPr>
        <w:rPr>
          <w:lang w:val="en-AU"/>
        </w:rPr>
      </w:pPr>
    </w:p>
    <w:p w14:paraId="4D19CE17" w14:textId="77777777" w:rsidR="00004776" w:rsidRDefault="00004776" w:rsidP="0036039C">
      <w:pPr>
        <w:pStyle w:val="FSBullet1"/>
        <w:numPr>
          <w:ilvl w:val="0"/>
          <w:numId w:val="0"/>
        </w:numPr>
      </w:pPr>
      <w:r>
        <w:t xml:space="preserve">There are no public health and safety concerns associated with the use of endo-inulinase from </w:t>
      </w:r>
      <w:r w:rsidRPr="000B29C2">
        <w:rPr>
          <w:i/>
        </w:rPr>
        <w:t>A. oryzae</w:t>
      </w:r>
      <w:r>
        <w:t xml:space="preserve"> as a food processing aid. </w:t>
      </w:r>
    </w:p>
    <w:p w14:paraId="72042171" w14:textId="77777777" w:rsidR="00004776" w:rsidRDefault="00004776" w:rsidP="0036039C">
      <w:pPr>
        <w:pStyle w:val="FSBullet1"/>
        <w:numPr>
          <w:ilvl w:val="0"/>
          <w:numId w:val="0"/>
        </w:numPr>
      </w:pPr>
    </w:p>
    <w:p w14:paraId="2383EB22" w14:textId="77777777" w:rsidR="00004776" w:rsidRDefault="00004776" w:rsidP="0036039C">
      <w:pPr>
        <w:pStyle w:val="FSBullet1"/>
        <w:numPr>
          <w:ilvl w:val="0"/>
          <w:numId w:val="0"/>
        </w:numPr>
      </w:pPr>
      <w:r>
        <w:t xml:space="preserve">The production organism is not toxigenic nor pathogenic. </w:t>
      </w:r>
      <w:r w:rsidRPr="00330C6C">
        <w:rPr>
          <w:i/>
        </w:rPr>
        <w:t>A. oryzae</w:t>
      </w:r>
      <w:r>
        <w:t xml:space="preserve"> has a long history of safe use as the production organism for a number of enzyme processing aids that are already permitted in the Code. Molecular characterisation of the production strain confirmed the sequence of the inserted DNA has not undergone any rearrangement, and the introduced DNA is stably inherited.</w:t>
      </w:r>
    </w:p>
    <w:p w14:paraId="16E02D3A" w14:textId="77777777" w:rsidR="00004776" w:rsidRDefault="00004776" w:rsidP="0036039C">
      <w:pPr>
        <w:pStyle w:val="FSBullet1"/>
        <w:numPr>
          <w:ilvl w:val="0"/>
          <w:numId w:val="0"/>
        </w:numPr>
      </w:pPr>
    </w:p>
    <w:p w14:paraId="3133D48D" w14:textId="3BB608B9" w:rsidR="00004776" w:rsidRDefault="00004776" w:rsidP="0036039C">
      <w:pPr>
        <w:pStyle w:val="FSBullet1"/>
        <w:numPr>
          <w:ilvl w:val="0"/>
          <w:numId w:val="0"/>
        </w:numPr>
      </w:pPr>
      <w:r>
        <w:t>This endo-inulinase has been</w:t>
      </w:r>
      <w:r w:rsidR="00330C6C">
        <w:t xml:space="preserve"> legally </w:t>
      </w:r>
      <w:r>
        <w:t xml:space="preserve">used in the EU, with no reports of adverse effects in consumers. </w:t>
      </w:r>
    </w:p>
    <w:p w14:paraId="2C6DEDD4" w14:textId="77777777" w:rsidR="00004776" w:rsidRDefault="00004776" w:rsidP="0036039C">
      <w:pPr>
        <w:pStyle w:val="FSBullet1"/>
        <w:numPr>
          <w:ilvl w:val="0"/>
          <w:numId w:val="0"/>
        </w:numPr>
      </w:pPr>
    </w:p>
    <w:p w14:paraId="1049B83C" w14:textId="2C5D6B48" w:rsidR="00004776" w:rsidRDefault="00004776" w:rsidP="0036039C">
      <w:pPr>
        <w:pStyle w:val="FSBullet1"/>
        <w:numPr>
          <w:ilvl w:val="0"/>
          <w:numId w:val="0"/>
        </w:numPr>
      </w:pPr>
      <w:r>
        <w:t xml:space="preserve">Results of genotoxicity assays were negative, and the enzyme shows no significant homology with known protein toxins. The </w:t>
      </w:r>
      <w:r w:rsidR="000018D7">
        <w:t>N</w:t>
      </w:r>
      <w:r w:rsidR="009B7333">
        <w:t xml:space="preserve">o </w:t>
      </w:r>
      <w:r w:rsidR="000018D7">
        <w:t>O</w:t>
      </w:r>
      <w:r w:rsidR="009B7333">
        <w:t>bserv</w:t>
      </w:r>
      <w:r w:rsidR="000018D7">
        <w:t>ed A</w:t>
      </w:r>
      <w:r w:rsidR="009B7333">
        <w:t xml:space="preserve">dverse </w:t>
      </w:r>
      <w:r w:rsidR="000018D7">
        <w:t>E</w:t>
      </w:r>
      <w:r w:rsidR="009B7333">
        <w:t xml:space="preserve">ffect </w:t>
      </w:r>
      <w:r w:rsidR="000018D7">
        <w:t>L</w:t>
      </w:r>
      <w:r w:rsidR="009B7333">
        <w:t>evel (</w:t>
      </w:r>
      <w:r>
        <w:t>NOAEL</w:t>
      </w:r>
      <w:r w:rsidR="009B7333">
        <w:t>)</w:t>
      </w:r>
      <w:r>
        <w:t xml:space="preserve"> in a 13-week repeat-dose oral gavage study in rats was 27500 UI/kg bw/day, equivalent in </w:t>
      </w:r>
      <w:r w:rsidR="00330C6C">
        <w:t>Total Organic Solids (</w:t>
      </w:r>
      <w:r>
        <w:t>TOS</w:t>
      </w:r>
      <w:r w:rsidR="00330C6C">
        <w:t>)</w:t>
      </w:r>
      <w:r>
        <w:t xml:space="preserve"> to 189.65 mg/kg bw/day. The Theoretical Maxim</w:t>
      </w:r>
      <w:r w:rsidR="007D2669">
        <w:t>um</w:t>
      </w:r>
      <w:r>
        <w:t xml:space="preserve"> Daily Intake (TMDI), expressed in TOS is 0.0069 mg/kg bw/day, and the Margin of Exposure (MoE) is therefore 27,486. </w:t>
      </w:r>
    </w:p>
    <w:p w14:paraId="772D7D95" w14:textId="77777777" w:rsidR="00004776" w:rsidRDefault="00004776" w:rsidP="0036039C">
      <w:pPr>
        <w:pStyle w:val="FSBullet1"/>
        <w:numPr>
          <w:ilvl w:val="0"/>
          <w:numId w:val="0"/>
        </w:numPr>
      </w:pPr>
    </w:p>
    <w:p w14:paraId="7185B2F7" w14:textId="5021A03F" w:rsidR="00004776" w:rsidRDefault="00004776" w:rsidP="00004776">
      <w:pPr>
        <w:pStyle w:val="FSBullet1"/>
        <w:numPr>
          <w:ilvl w:val="0"/>
          <w:numId w:val="0"/>
        </w:numPr>
      </w:pPr>
      <w:r>
        <w:t xml:space="preserve">Bioinformatic analysis identified potential homology to minor allergens in tomato. Tomato is not considered </w:t>
      </w:r>
      <w:r w:rsidR="009B7333">
        <w:t xml:space="preserve">by FSANZ </w:t>
      </w:r>
      <w:r w:rsidR="007863B6">
        <w:t xml:space="preserve">to </w:t>
      </w:r>
      <w:r w:rsidR="009B7333">
        <w:t xml:space="preserve">be </w:t>
      </w:r>
      <w:r>
        <w:t xml:space="preserve">a major allergen and is widely used </w:t>
      </w:r>
      <w:r w:rsidR="009B7333">
        <w:t xml:space="preserve">as a </w:t>
      </w:r>
      <w:r>
        <w:t>food</w:t>
      </w:r>
      <w:r w:rsidR="009B7333">
        <w:t xml:space="preserve"> or ingredient of food</w:t>
      </w:r>
      <w:r>
        <w:t xml:space="preserve">. </w:t>
      </w:r>
    </w:p>
    <w:p w14:paraId="59158D43" w14:textId="77777777" w:rsidR="006459AA" w:rsidRPr="004C3F8D" w:rsidRDefault="006459AA" w:rsidP="00653E10">
      <w:pPr>
        <w:rPr>
          <w:lang w:val="en-AU"/>
        </w:rPr>
      </w:pPr>
    </w:p>
    <w:p w14:paraId="07188A43" w14:textId="4EF41704" w:rsidR="006167F5" w:rsidRPr="001A65FB" w:rsidRDefault="00653E10" w:rsidP="001A65FB">
      <w:pPr>
        <w:sectPr w:rsidR="006167F5" w:rsidRPr="001A65FB" w:rsidSect="0054272D">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r w:rsidRPr="009113B8">
        <w:rPr>
          <w:lang w:val="en-AU"/>
        </w:rPr>
        <w:t xml:space="preserve">Based on the reviewed toxicological data it is concluded that in the absence of any </w:t>
      </w:r>
      <w:r w:rsidRPr="009113B8">
        <w:rPr>
          <w:lang w:val="en-AU"/>
        </w:rPr>
        <w:lastRenderedPageBreak/>
        <w:t xml:space="preserve">identifiable hazard, an Acceptable Daily Intake (ADI) of ‘not specified’ is appropriate. A dietary exposure assessment </w:t>
      </w:r>
      <w:r w:rsidR="00984DEA" w:rsidRPr="009113B8">
        <w:rPr>
          <w:lang w:val="en-AU"/>
        </w:rPr>
        <w:t>wa</w:t>
      </w:r>
      <w:r w:rsidRPr="009113B8">
        <w:rPr>
          <w:lang w:val="en-AU"/>
        </w:rPr>
        <w:t>s therefore not required</w:t>
      </w:r>
      <w:r w:rsidRPr="004C3F8D">
        <w:rPr>
          <w:lang w:val="en-AU"/>
        </w:rPr>
        <w:t>.</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83D41BB" w14:textId="66FC889E" w:rsidR="00BD789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6848700" w:history="1">
        <w:r w:rsidR="00BD7894" w:rsidRPr="00BE348D">
          <w:rPr>
            <w:rStyle w:val="Hyperlink"/>
            <w:noProof/>
          </w:rPr>
          <w:t>Executive summary</w:t>
        </w:r>
        <w:r w:rsidR="00BD7894">
          <w:rPr>
            <w:noProof/>
            <w:webHidden/>
          </w:rPr>
          <w:tab/>
        </w:r>
        <w:r w:rsidR="00BD7894">
          <w:rPr>
            <w:noProof/>
            <w:webHidden/>
          </w:rPr>
          <w:fldChar w:fldCharType="begin"/>
        </w:r>
        <w:r w:rsidR="00BD7894">
          <w:rPr>
            <w:noProof/>
            <w:webHidden/>
          </w:rPr>
          <w:instrText xml:space="preserve"> PAGEREF _Toc16848700 \h </w:instrText>
        </w:r>
        <w:r w:rsidR="00BD7894">
          <w:rPr>
            <w:noProof/>
            <w:webHidden/>
          </w:rPr>
        </w:r>
        <w:r w:rsidR="00BD7894">
          <w:rPr>
            <w:noProof/>
            <w:webHidden/>
          </w:rPr>
          <w:fldChar w:fldCharType="separate"/>
        </w:r>
        <w:r w:rsidR="00413B93">
          <w:rPr>
            <w:noProof/>
            <w:webHidden/>
          </w:rPr>
          <w:t>i</w:t>
        </w:r>
        <w:r w:rsidR="00BD7894">
          <w:rPr>
            <w:noProof/>
            <w:webHidden/>
          </w:rPr>
          <w:fldChar w:fldCharType="end"/>
        </w:r>
      </w:hyperlink>
    </w:p>
    <w:p w14:paraId="210F6685" w14:textId="754EF99F" w:rsidR="00BD7894" w:rsidRDefault="00811C1E">
      <w:pPr>
        <w:pStyle w:val="TOC1"/>
        <w:tabs>
          <w:tab w:val="right" w:leader="dot" w:pos="9060"/>
        </w:tabs>
        <w:rPr>
          <w:rFonts w:eastAsiaTheme="minorEastAsia" w:cstheme="minorBidi"/>
          <w:b w:val="0"/>
          <w:bCs w:val="0"/>
          <w:caps w:val="0"/>
          <w:noProof/>
          <w:sz w:val="22"/>
          <w:szCs w:val="22"/>
          <w:lang w:eastAsia="en-GB" w:bidi="ar-SA"/>
        </w:rPr>
      </w:pPr>
      <w:hyperlink w:anchor="_Toc16848701" w:history="1">
        <w:r w:rsidR="00BD7894" w:rsidRPr="00BE348D">
          <w:rPr>
            <w:rStyle w:val="Hyperlink"/>
            <w:noProof/>
          </w:rPr>
          <w:t>1 Introduction</w:t>
        </w:r>
        <w:r w:rsidR="00BD7894">
          <w:rPr>
            <w:noProof/>
            <w:webHidden/>
          </w:rPr>
          <w:tab/>
        </w:r>
        <w:r w:rsidR="00BD7894">
          <w:rPr>
            <w:noProof/>
            <w:webHidden/>
          </w:rPr>
          <w:fldChar w:fldCharType="begin"/>
        </w:r>
        <w:r w:rsidR="00BD7894">
          <w:rPr>
            <w:noProof/>
            <w:webHidden/>
          </w:rPr>
          <w:instrText xml:space="preserve"> PAGEREF _Toc16848701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66DCD002" w14:textId="1CE9526E"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02" w:history="1">
        <w:r w:rsidR="00BD7894" w:rsidRPr="00BE348D">
          <w:rPr>
            <w:rStyle w:val="Hyperlink"/>
            <w:noProof/>
          </w:rPr>
          <w:t>1.1</w:t>
        </w:r>
        <w:r w:rsidR="00BD7894">
          <w:rPr>
            <w:rFonts w:eastAsiaTheme="minorEastAsia" w:cstheme="minorBidi"/>
            <w:smallCaps w:val="0"/>
            <w:noProof/>
            <w:sz w:val="22"/>
            <w:szCs w:val="22"/>
            <w:lang w:eastAsia="en-GB" w:bidi="ar-SA"/>
          </w:rPr>
          <w:tab/>
        </w:r>
        <w:r w:rsidR="00BD7894" w:rsidRPr="00BE348D">
          <w:rPr>
            <w:rStyle w:val="Hyperlink"/>
            <w:noProof/>
          </w:rPr>
          <w:t>Objectives of the assessment</w:t>
        </w:r>
        <w:r w:rsidR="00BD7894">
          <w:rPr>
            <w:noProof/>
            <w:webHidden/>
          </w:rPr>
          <w:tab/>
        </w:r>
        <w:r w:rsidR="00BD7894">
          <w:rPr>
            <w:noProof/>
            <w:webHidden/>
          </w:rPr>
          <w:fldChar w:fldCharType="begin"/>
        </w:r>
        <w:r w:rsidR="00BD7894">
          <w:rPr>
            <w:noProof/>
            <w:webHidden/>
          </w:rPr>
          <w:instrText xml:space="preserve"> PAGEREF _Toc16848702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4024D8CF" w14:textId="6FBA2956" w:rsidR="00BD7894" w:rsidRDefault="00811C1E">
      <w:pPr>
        <w:pStyle w:val="TOC1"/>
        <w:tabs>
          <w:tab w:val="right" w:leader="dot" w:pos="9060"/>
        </w:tabs>
        <w:rPr>
          <w:rFonts w:eastAsiaTheme="minorEastAsia" w:cstheme="minorBidi"/>
          <w:b w:val="0"/>
          <w:bCs w:val="0"/>
          <w:caps w:val="0"/>
          <w:noProof/>
          <w:sz w:val="22"/>
          <w:szCs w:val="22"/>
          <w:lang w:eastAsia="en-GB" w:bidi="ar-SA"/>
        </w:rPr>
      </w:pPr>
      <w:hyperlink w:anchor="_Toc16848703" w:history="1">
        <w:r w:rsidR="00BD7894" w:rsidRPr="00BE348D">
          <w:rPr>
            <w:rStyle w:val="Hyperlink"/>
            <w:noProof/>
          </w:rPr>
          <w:t>2 Food technology assessment</w:t>
        </w:r>
        <w:r w:rsidR="00BD7894">
          <w:rPr>
            <w:noProof/>
            <w:webHidden/>
          </w:rPr>
          <w:tab/>
        </w:r>
        <w:r w:rsidR="00BD7894">
          <w:rPr>
            <w:noProof/>
            <w:webHidden/>
          </w:rPr>
          <w:fldChar w:fldCharType="begin"/>
        </w:r>
        <w:r w:rsidR="00BD7894">
          <w:rPr>
            <w:noProof/>
            <w:webHidden/>
          </w:rPr>
          <w:instrText xml:space="preserve"> PAGEREF _Toc16848703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609E4F3E" w14:textId="083CB67B"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04" w:history="1">
        <w:r w:rsidR="00BD7894" w:rsidRPr="00BE348D">
          <w:rPr>
            <w:rStyle w:val="Hyperlink"/>
            <w:noProof/>
          </w:rPr>
          <w:t>2.1</w:t>
        </w:r>
        <w:r w:rsidR="00BD7894">
          <w:rPr>
            <w:rFonts w:eastAsiaTheme="minorEastAsia" w:cstheme="minorBidi"/>
            <w:smallCaps w:val="0"/>
            <w:noProof/>
            <w:sz w:val="22"/>
            <w:szCs w:val="22"/>
            <w:lang w:eastAsia="en-GB" w:bidi="ar-SA"/>
          </w:rPr>
          <w:tab/>
        </w:r>
        <w:r w:rsidR="00BD7894" w:rsidRPr="00BE348D">
          <w:rPr>
            <w:rStyle w:val="Hyperlink"/>
            <w:noProof/>
          </w:rPr>
          <w:t>Characterisation of the enzyme</w:t>
        </w:r>
        <w:r w:rsidR="00BD7894">
          <w:rPr>
            <w:noProof/>
            <w:webHidden/>
          </w:rPr>
          <w:tab/>
        </w:r>
        <w:r w:rsidR="00BD7894">
          <w:rPr>
            <w:noProof/>
            <w:webHidden/>
          </w:rPr>
          <w:fldChar w:fldCharType="begin"/>
        </w:r>
        <w:r w:rsidR="00BD7894">
          <w:rPr>
            <w:noProof/>
            <w:webHidden/>
          </w:rPr>
          <w:instrText xml:space="preserve"> PAGEREF _Toc16848704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3452F9C1" w14:textId="27776214"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05" w:history="1">
        <w:r w:rsidR="00BD7894" w:rsidRPr="00BE348D">
          <w:rPr>
            <w:rStyle w:val="Hyperlink"/>
            <w:noProof/>
          </w:rPr>
          <w:t>2.1.1</w:t>
        </w:r>
        <w:r w:rsidR="00BD7894">
          <w:rPr>
            <w:rFonts w:eastAsiaTheme="minorEastAsia" w:cstheme="minorBidi"/>
            <w:i w:val="0"/>
            <w:iCs w:val="0"/>
            <w:noProof/>
            <w:sz w:val="22"/>
            <w:szCs w:val="22"/>
            <w:lang w:eastAsia="en-GB" w:bidi="ar-SA"/>
          </w:rPr>
          <w:tab/>
        </w:r>
        <w:r w:rsidR="00BD7894" w:rsidRPr="00BE348D">
          <w:rPr>
            <w:rStyle w:val="Hyperlink"/>
            <w:noProof/>
          </w:rPr>
          <w:t>Identity of the enzyme</w:t>
        </w:r>
        <w:r w:rsidR="00BD7894">
          <w:rPr>
            <w:noProof/>
            <w:webHidden/>
          </w:rPr>
          <w:tab/>
        </w:r>
        <w:r w:rsidR="00BD7894">
          <w:rPr>
            <w:noProof/>
            <w:webHidden/>
          </w:rPr>
          <w:fldChar w:fldCharType="begin"/>
        </w:r>
        <w:r w:rsidR="00BD7894">
          <w:rPr>
            <w:noProof/>
            <w:webHidden/>
          </w:rPr>
          <w:instrText xml:space="preserve"> PAGEREF _Toc16848705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6E444118" w14:textId="0586A25C"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06" w:history="1">
        <w:r w:rsidR="00BD7894" w:rsidRPr="00BE348D">
          <w:rPr>
            <w:rStyle w:val="Hyperlink"/>
            <w:noProof/>
          </w:rPr>
          <w:t>2.1.2</w:t>
        </w:r>
        <w:r w:rsidR="00BD7894">
          <w:rPr>
            <w:rFonts w:eastAsiaTheme="minorEastAsia" w:cstheme="minorBidi"/>
            <w:i w:val="0"/>
            <w:iCs w:val="0"/>
            <w:noProof/>
            <w:sz w:val="22"/>
            <w:szCs w:val="22"/>
            <w:lang w:eastAsia="en-GB" w:bidi="ar-SA"/>
          </w:rPr>
          <w:tab/>
        </w:r>
        <w:r w:rsidR="00BD7894" w:rsidRPr="00BE348D">
          <w:rPr>
            <w:rStyle w:val="Hyperlink"/>
            <w:noProof/>
          </w:rPr>
          <w:t>Technological purpose of the enzyme</w:t>
        </w:r>
        <w:r w:rsidR="00BD7894">
          <w:rPr>
            <w:noProof/>
            <w:webHidden/>
          </w:rPr>
          <w:tab/>
        </w:r>
        <w:r w:rsidR="00BD7894">
          <w:rPr>
            <w:noProof/>
            <w:webHidden/>
          </w:rPr>
          <w:fldChar w:fldCharType="begin"/>
        </w:r>
        <w:r w:rsidR="00BD7894">
          <w:rPr>
            <w:noProof/>
            <w:webHidden/>
          </w:rPr>
          <w:instrText xml:space="preserve"> PAGEREF _Toc16848706 \h </w:instrText>
        </w:r>
        <w:r w:rsidR="00BD7894">
          <w:rPr>
            <w:noProof/>
            <w:webHidden/>
          </w:rPr>
        </w:r>
        <w:r w:rsidR="00BD7894">
          <w:rPr>
            <w:noProof/>
            <w:webHidden/>
          </w:rPr>
          <w:fldChar w:fldCharType="separate"/>
        </w:r>
        <w:r w:rsidR="00413B93">
          <w:rPr>
            <w:noProof/>
            <w:webHidden/>
          </w:rPr>
          <w:t>3</w:t>
        </w:r>
        <w:r w:rsidR="00BD7894">
          <w:rPr>
            <w:noProof/>
            <w:webHidden/>
          </w:rPr>
          <w:fldChar w:fldCharType="end"/>
        </w:r>
      </w:hyperlink>
    </w:p>
    <w:p w14:paraId="4B8229B5" w14:textId="7B633449"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07" w:history="1">
        <w:r w:rsidR="00BD7894" w:rsidRPr="00BE348D">
          <w:rPr>
            <w:rStyle w:val="Hyperlink"/>
            <w:noProof/>
          </w:rPr>
          <w:t>2.2</w:t>
        </w:r>
        <w:r w:rsidR="00BD7894">
          <w:rPr>
            <w:rFonts w:eastAsiaTheme="minorEastAsia" w:cstheme="minorBidi"/>
            <w:smallCaps w:val="0"/>
            <w:noProof/>
            <w:sz w:val="22"/>
            <w:szCs w:val="22"/>
            <w:lang w:eastAsia="en-GB" w:bidi="ar-SA"/>
          </w:rPr>
          <w:tab/>
        </w:r>
        <w:r w:rsidR="00BD7894" w:rsidRPr="00BE348D">
          <w:rPr>
            <w:rStyle w:val="Hyperlink"/>
            <w:noProof/>
          </w:rPr>
          <w:t>Manufacturing process</w:t>
        </w:r>
        <w:r w:rsidR="00BD7894">
          <w:rPr>
            <w:noProof/>
            <w:webHidden/>
          </w:rPr>
          <w:tab/>
        </w:r>
        <w:r w:rsidR="00BD7894">
          <w:rPr>
            <w:noProof/>
            <w:webHidden/>
          </w:rPr>
          <w:fldChar w:fldCharType="begin"/>
        </w:r>
        <w:r w:rsidR="00BD7894">
          <w:rPr>
            <w:noProof/>
            <w:webHidden/>
          </w:rPr>
          <w:instrText xml:space="preserve"> PAGEREF _Toc16848707 \h </w:instrText>
        </w:r>
        <w:r w:rsidR="00BD7894">
          <w:rPr>
            <w:noProof/>
            <w:webHidden/>
          </w:rPr>
        </w:r>
        <w:r w:rsidR="00BD7894">
          <w:rPr>
            <w:noProof/>
            <w:webHidden/>
          </w:rPr>
          <w:fldChar w:fldCharType="separate"/>
        </w:r>
        <w:r w:rsidR="00413B93">
          <w:rPr>
            <w:noProof/>
            <w:webHidden/>
          </w:rPr>
          <w:t>4</w:t>
        </w:r>
        <w:r w:rsidR="00BD7894">
          <w:rPr>
            <w:noProof/>
            <w:webHidden/>
          </w:rPr>
          <w:fldChar w:fldCharType="end"/>
        </w:r>
      </w:hyperlink>
    </w:p>
    <w:p w14:paraId="5B86E57C" w14:textId="69D3F99C"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08" w:history="1">
        <w:r w:rsidR="00BD7894" w:rsidRPr="00BE348D">
          <w:rPr>
            <w:rStyle w:val="Hyperlink"/>
            <w:noProof/>
          </w:rPr>
          <w:t>2.2.1</w:t>
        </w:r>
        <w:r w:rsidR="00BD7894">
          <w:rPr>
            <w:rFonts w:eastAsiaTheme="minorEastAsia" w:cstheme="minorBidi"/>
            <w:i w:val="0"/>
            <w:iCs w:val="0"/>
            <w:noProof/>
            <w:sz w:val="22"/>
            <w:szCs w:val="22"/>
            <w:lang w:eastAsia="en-GB" w:bidi="ar-SA"/>
          </w:rPr>
          <w:tab/>
        </w:r>
        <w:r w:rsidR="00BD7894" w:rsidRPr="00BE348D">
          <w:rPr>
            <w:rStyle w:val="Hyperlink"/>
            <w:noProof/>
          </w:rPr>
          <w:t>Production of the enzyme</w:t>
        </w:r>
        <w:r w:rsidR="00BD7894">
          <w:rPr>
            <w:noProof/>
            <w:webHidden/>
          </w:rPr>
          <w:tab/>
        </w:r>
        <w:r w:rsidR="00BD7894">
          <w:rPr>
            <w:noProof/>
            <w:webHidden/>
          </w:rPr>
          <w:fldChar w:fldCharType="begin"/>
        </w:r>
        <w:r w:rsidR="00BD7894">
          <w:rPr>
            <w:noProof/>
            <w:webHidden/>
          </w:rPr>
          <w:instrText xml:space="preserve"> PAGEREF _Toc16848708 \h </w:instrText>
        </w:r>
        <w:r w:rsidR="00BD7894">
          <w:rPr>
            <w:noProof/>
            <w:webHidden/>
          </w:rPr>
        </w:r>
        <w:r w:rsidR="00BD7894">
          <w:rPr>
            <w:noProof/>
            <w:webHidden/>
          </w:rPr>
          <w:fldChar w:fldCharType="separate"/>
        </w:r>
        <w:r w:rsidR="00413B93">
          <w:rPr>
            <w:noProof/>
            <w:webHidden/>
          </w:rPr>
          <w:t>4</w:t>
        </w:r>
        <w:r w:rsidR="00BD7894">
          <w:rPr>
            <w:noProof/>
            <w:webHidden/>
          </w:rPr>
          <w:fldChar w:fldCharType="end"/>
        </w:r>
      </w:hyperlink>
    </w:p>
    <w:p w14:paraId="611EB2FE" w14:textId="3A5BEA62"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09" w:history="1">
        <w:r w:rsidR="00BD7894" w:rsidRPr="00BE348D">
          <w:rPr>
            <w:rStyle w:val="Hyperlink"/>
            <w:noProof/>
          </w:rPr>
          <w:t>2.2.2</w:t>
        </w:r>
        <w:r w:rsidR="00BD7894">
          <w:rPr>
            <w:rFonts w:eastAsiaTheme="minorEastAsia" w:cstheme="minorBidi"/>
            <w:i w:val="0"/>
            <w:iCs w:val="0"/>
            <w:noProof/>
            <w:sz w:val="22"/>
            <w:szCs w:val="22"/>
            <w:lang w:eastAsia="en-GB" w:bidi="ar-SA"/>
          </w:rPr>
          <w:tab/>
        </w:r>
        <w:r w:rsidR="00BD7894" w:rsidRPr="00BE348D">
          <w:rPr>
            <w:rStyle w:val="Hyperlink"/>
            <w:noProof/>
          </w:rPr>
          <w:t>Allergen considerations</w:t>
        </w:r>
        <w:r w:rsidR="00BD7894">
          <w:rPr>
            <w:noProof/>
            <w:webHidden/>
          </w:rPr>
          <w:tab/>
        </w:r>
        <w:r w:rsidR="00BD7894">
          <w:rPr>
            <w:noProof/>
            <w:webHidden/>
          </w:rPr>
          <w:fldChar w:fldCharType="begin"/>
        </w:r>
        <w:r w:rsidR="00BD7894">
          <w:rPr>
            <w:noProof/>
            <w:webHidden/>
          </w:rPr>
          <w:instrText xml:space="preserve"> PAGEREF _Toc16848709 \h </w:instrText>
        </w:r>
        <w:r w:rsidR="00BD7894">
          <w:rPr>
            <w:noProof/>
            <w:webHidden/>
          </w:rPr>
        </w:r>
        <w:r w:rsidR="00BD7894">
          <w:rPr>
            <w:noProof/>
            <w:webHidden/>
          </w:rPr>
          <w:fldChar w:fldCharType="separate"/>
        </w:r>
        <w:r w:rsidR="00413B93">
          <w:rPr>
            <w:noProof/>
            <w:webHidden/>
          </w:rPr>
          <w:t>4</w:t>
        </w:r>
        <w:r w:rsidR="00BD7894">
          <w:rPr>
            <w:noProof/>
            <w:webHidden/>
          </w:rPr>
          <w:fldChar w:fldCharType="end"/>
        </w:r>
      </w:hyperlink>
    </w:p>
    <w:p w14:paraId="71C59828" w14:textId="4FD40F0A"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10" w:history="1">
        <w:r w:rsidR="00BD7894" w:rsidRPr="00BE348D">
          <w:rPr>
            <w:rStyle w:val="Hyperlink"/>
            <w:noProof/>
          </w:rPr>
          <w:t>2.2.3</w:t>
        </w:r>
        <w:r w:rsidR="00BD7894">
          <w:rPr>
            <w:rFonts w:eastAsiaTheme="minorEastAsia" w:cstheme="minorBidi"/>
            <w:i w:val="0"/>
            <w:iCs w:val="0"/>
            <w:noProof/>
            <w:sz w:val="22"/>
            <w:szCs w:val="22"/>
            <w:lang w:eastAsia="en-GB" w:bidi="ar-SA"/>
          </w:rPr>
          <w:tab/>
        </w:r>
        <w:r w:rsidR="00BD7894" w:rsidRPr="00BE348D">
          <w:rPr>
            <w:rStyle w:val="Hyperlink"/>
            <w:noProof/>
          </w:rPr>
          <w:t>Specifications</w:t>
        </w:r>
        <w:r w:rsidR="00BD7894">
          <w:rPr>
            <w:noProof/>
            <w:webHidden/>
          </w:rPr>
          <w:tab/>
        </w:r>
        <w:r w:rsidR="00BD7894">
          <w:rPr>
            <w:noProof/>
            <w:webHidden/>
          </w:rPr>
          <w:fldChar w:fldCharType="begin"/>
        </w:r>
        <w:r w:rsidR="00BD7894">
          <w:rPr>
            <w:noProof/>
            <w:webHidden/>
          </w:rPr>
          <w:instrText xml:space="preserve"> PAGEREF _Toc16848710 \h </w:instrText>
        </w:r>
        <w:r w:rsidR="00BD7894">
          <w:rPr>
            <w:noProof/>
            <w:webHidden/>
          </w:rPr>
        </w:r>
        <w:r w:rsidR="00BD7894">
          <w:rPr>
            <w:noProof/>
            <w:webHidden/>
          </w:rPr>
          <w:fldChar w:fldCharType="separate"/>
        </w:r>
        <w:r w:rsidR="00413B93">
          <w:rPr>
            <w:noProof/>
            <w:webHidden/>
          </w:rPr>
          <w:t>5</w:t>
        </w:r>
        <w:r w:rsidR="00BD7894">
          <w:rPr>
            <w:noProof/>
            <w:webHidden/>
          </w:rPr>
          <w:fldChar w:fldCharType="end"/>
        </w:r>
      </w:hyperlink>
    </w:p>
    <w:p w14:paraId="446B2739" w14:textId="7EE186D5"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11" w:history="1">
        <w:r w:rsidR="00BD7894" w:rsidRPr="00BE348D">
          <w:rPr>
            <w:rStyle w:val="Hyperlink"/>
            <w:noProof/>
          </w:rPr>
          <w:t>2.3</w:t>
        </w:r>
        <w:r w:rsidR="00BD7894">
          <w:rPr>
            <w:rFonts w:eastAsiaTheme="minorEastAsia" w:cstheme="minorBidi"/>
            <w:smallCaps w:val="0"/>
            <w:noProof/>
            <w:sz w:val="22"/>
            <w:szCs w:val="22"/>
            <w:lang w:eastAsia="en-GB" w:bidi="ar-SA"/>
          </w:rPr>
          <w:tab/>
        </w:r>
        <w:r w:rsidR="00BD7894" w:rsidRPr="00BE348D">
          <w:rPr>
            <w:rStyle w:val="Hyperlink"/>
            <w:noProof/>
          </w:rPr>
          <w:t>Food technology conclusion</w:t>
        </w:r>
        <w:r w:rsidR="00BD7894">
          <w:rPr>
            <w:noProof/>
            <w:webHidden/>
          </w:rPr>
          <w:tab/>
        </w:r>
        <w:r w:rsidR="00BD7894">
          <w:rPr>
            <w:noProof/>
            <w:webHidden/>
          </w:rPr>
          <w:fldChar w:fldCharType="begin"/>
        </w:r>
        <w:r w:rsidR="00BD7894">
          <w:rPr>
            <w:noProof/>
            <w:webHidden/>
          </w:rPr>
          <w:instrText xml:space="preserve"> PAGEREF _Toc16848711 \h </w:instrText>
        </w:r>
        <w:r w:rsidR="00BD7894">
          <w:rPr>
            <w:noProof/>
            <w:webHidden/>
          </w:rPr>
        </w:r>
        <w:r w:rsidR="00BD7894">
          <w:rPr>
            <w:noProof/>
            <w:webHidden/>
          </w:rPr>
          <w:fldChar w:fldCharType="separate"/>
        </w:r>
        <w:r w:rsidR="00413B93">
          <w:rPr>
            <w:noProof/>
            <w:webHidden/>
          </w:rPr>
          <w:t>5</w:t>
        </w:r>
        <w:r w:rsidR="00BD7894">
          <w:rPr>
            <w:noProof/>
            <w:webHidden/>
          </w:rPr>
          <w:fldChar w:fldCharType="end"/>
        </w:r>
      </w:hyperlink>
    </w:p>
    <w:p w14:paraId="5DCC96BD" w14:textId="3C850FD4" w:rsidR="00BD7894" w:rsidRDefault="00811C1E">
      <w:pPr>
        <w:pStyle w:val="TOC1"/>
        <w:tabs>
          <w:tab w:val="right" w:leader="dot" w:pos="9060"/>
        </w:tabs>
        <w:rPr>
          <w:rFonts w:eastAsiaTheme="minorEastAsia" w:cstheme="minorBidi"/>
          <w:b w:val="0"/>
          <w:bCs w:val="0"/>
          <w:caps w:val="0"/>
          <w:noProof/>
          <w:sz w:val="22"/>
          <w:szCs w:val="22"/>
          <w:lang w:eastAsia="en-GB" w:bidi="ar-SA"/>
        </w:rPr>
      </w:pPr>
      <w:hyperlink w:anchor="_Toc16848712" w:history="1">
        <w:r w:rsidR="00BD7894" w:rsidRPr="00BE348D">
          <w:rPr>
            <w:rStyle w:val="Hyperlink"/>
            <w:noProof/>
          </w:rPr>
          <w:t>3 Safety assessment</w:t>
        </w:r>
        <w:r w:rsidR="00BD7894">
          <w:rPr>
            <w:noProof/>
            <w:webHidden/>
          </w:rPr>
          <w:tab/>
        </w:r>
        <w:r w:rsidR="00BD7894">
          <w:rPr>
            <w:noProof/>
            <w:webHidden/>
          </w:rPr>
          <w:fldChar w:fldCharType="begin"/>
        </w:r>
        <w:r w:rsidR="00BD7894">
          <w:rPr>
            <w:noProof/>
            <w:webHidden/>
          </w:rPr>
          <w:instrText xml:space="preserve"> PAGEREF _Toc16848712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0CBFB31F" w14:textId="08ED4C8E"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13" w:history="1">
        <w:r w:rsidR="00BD7894" w:rsidRPr="00BE348D">
          <w:rPr>
            <w:rStyle w:val="Hyperlink"/>
            <w:noProof/>
          </w:rPr>
          <w:t>3.1</w:t>
        </w:r>
        <w:r w:rsidR="00BD7894">
          <w:rPr>
            <w:rFonts w:eastAsiaTheme="minorEastAsia" w:cstheme="minorBidi"/>
            <w:smallCaps w:val="0"/>
            <w:noProof/>
            <w:sz w:val="22"/>
            <w:szCs w:val="22"/>
            <w:lang w:eastAsia="en-GB" w:bidi="ar-SA"/>
          </w:rPr>
          <w:tab/>
        </w:r>
        <w:r w:rsidR="00BD7894" w:rsidRPr="00BE348D">
          <w:rPr>
            <w:rStyle w:val="Hyperlink"/>
            <w:noProof/>
          </w:rPr>
          <w:t>History of use</w:t>
        </w:r>
        <w:r w:rsidR="00BD7894">
          <w:rPr>
            <w:noProof/>
            <w:webHidden/>
          </w:rPr>
          <w:tab/>
        </w:r>
        <w:r w:rsidR="00BD7894">
          <w:rPr>
            <w:noProof/>
            <w:webHidden/>
          </w:rPr>
          <w:fldChar w:fldCharType="begin"/>
        </w:r>
        <w:r w:rsidR="00BD7894">
          <w:rPr>
            <w:noProof/>
            <w:webHidden/>
          </w:rPr>
          <w:instrText xml:space="preserve"> PAGEREF _Toc16848713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3147534D" w14:textId="6C0A1078"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14" w:history="1">
        <w:r w:rsidR="00BD7894" w:rsidRPr="00BE348D">
          <w:rPr>
            <w:rStyle w:val="Hyperlink"/>
            <w:noProof/>
          </w:rPr>
          <w:t>3.1.1</w:t>
        </w:r>
        <w:r w:rsidR="00BD7894">
          <w:rPr>
            <w:rFonts w:eastAsiaTheme="minorEastAsia" w:cstheme="minorBidi"/>
            <w:i w:val="0"/>
            <w:iCs w:val="0"/>
            <w:noProof/>
            <w:sz w:val="22"/>
            <w:szCs w:val="22"/>
            <w:lang w:eastAsia="en-GB" w:bidi="ar-SA"/>
          </w:rPr>
          <w:tab/>
        </w:r>
        <w:r w:rsidR="00BD7894" w:rsidRPr="00BE348D">
          <w:rPr>
            <w:rStyle w:val="Hyperlink"/>
            <w:noProof/>
          </w:rPr>
          <w:t>Host organism</w:t>
        </w:r>
        <w:r w:rsidR="00BD7894">
          <w:rPr>
            <w:noProof/>
            <w:webHidden/>
          </w:rPr>
          <w:tab/>
        </w:r>
        <w:r w:rsidR="00BD7894">
          <w:rPr>
            <w:noProof/>
            <w:webHidden/>
          </w:rPr>
          <w:fldChar w:fldCharType="begin"/>
        </w:r>
        <w:r w:rsidR="00BD7894">
          <w:rPr>
            <w:noProof/>
            <w:webHidden/>
          </w:rPr>
          <w:instrText xml:space="preserve"> PAGEREF _Toc16848714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18537CCE" w14:textId="3EE1143E"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15" w:history="1">
        <w:r w:rsidR="00BD7894" w:rsidRPr="00BE348D">
          <w:rPr>
            <w:rStyle w:val="Hyperlink"/>
            <w:noProof/>
          </w:rPr>
          <w:t>3.1.2</w:t>
        </w:r>
        <w:r w:rsidR="00BD7894">
          <w:rPr>
            <w:rFonts w:eastAsiaTheme="minorEastAsia" w:cstheme="minorBidi"/>
            <w:i w:val="0"/>
            <w:iCs w:val="0"/>
            <w:noProof/>
            <w:sz w:val="22"/>
            <w:szCs w:val="22"/>
            <w:lang w:eastAsia="en-GB" w:bidi="ar-SA"/>
          </w:rPr>
          <w:tab/>
        </w:r>
        <w:r w:rsidR="00BD7894" w:rsidRPr="00BE348D">
          <w:rPr>
            <w:rStyle w:val="Hyperlink"/>
            <w:noProof/>
          </w:rPr>
          <w:t>Gene donor organisms</w:t>
        </w:r>
        <w:r w:rsidR="00BD7894">
          <w:rPr>
            <w:noProof/>
            <w:webHidden/>
          </w:rPr>
          <w:tab/>
        </w:r>
        <w:r w:rsidR="00BD7894">
          <w:rPr>
            <w:noProof/>
            <w:webHidden/>
          </w:rPr>
          <w:fldChar w:fldCharType="begin"/>
        </w:r>
        <w:r w:rsidR="00BD7894">
          <w:rPr>
            <w:noProof/>
            <w:webHidden/>
          </w:rPr>
          <w:instrText xml:space="preserve"> PAGEREF _Toc16848715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55E7976B" w14:textId="2F0C4B36"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16" w:history="1">
        <w:r w:rsidR="00BD7894" w:rsidRPr="00BE348D">
          <w:rPr>
            <w:rStyle w:val="Hyperlink"/>
            <w:noProof/>
          </w:rPr>
          <w:t>3.2</w:t>
        </w:r>
        <w:r w:rsidR="00BD7894">
          <w:rPr>
            <w:rFonts w:eastAsiaTheme="minorEastAsia" w:cstheme="minorBidi"/>
            <w:smallCaps w:val="0"/>
            <w:noProof/>
            <w:sz w:val="22"/>
            <w:szCs w:val="22"/>
            <w:lang w:eastAsia="en-GB" w:bidi="ar-SA"/>
          </w:rPr>
          <w:tab/>
        </w:r>
        <w:r w:rsidR="00BD7894" w:rsidRPr="00BE348D">
          <w:rPr>
            <w:rStyle w:val="Hyperlink"/>
            <w:noProof/>
          </w:rPr>
          <w:t>Characterisation of the genetic modification(s)</w:t>
        </w:r>
        <w:r w:rsidR="00BD7894">
          <w:rPr>
            <w:noProof/>
            <w:webHidden/>
          </w:rPr>
          <w:tab/>
        </w:r>
        <w:r w:rsidR="00BD7894">
          <w:rPr>
            <w:noProof/>
            <w:webHidden/>
          </w:rPr>
          <w:fldChar w:fldCharType="begin"/>
        </w:r>
        <w:r w:rsidR="00BD7894">
          <w:rPr>
            <w:noProof/>
            <w:webHidden/>
          </w:rPr>
          <w:instrText xml:space="preserve"> PAGEREF _Toc16848716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30A8C0A2" w14:textId="06AB2880"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17" w:history="1">
        <w:r w:rsidR="00BD7894" w:rsidRPr="00BE348D">
          <w:rPr>
            <w:rStyle w:val="Hyperlink"/>
            <w:noProof/>
          </w:rPr>
          <w:t>3.2.1</w:t>
        </w:r>
        <w:r w:rsidR="00BD7894">
          <w:rPr>
            <w:rFonts w:eastAsiaTheme="minorEastAsia" w:cstheme="minorBidi"/>
            <w:i w:val="0"/>
            <w:iCs w:val="0"/>
            <w:noProof/>
            <w:sz w:val="22"/>
            <w:szCs w:val="22"/>
            <w:lang w:eastAsia="en-GB" w:bidi="ar-SA"/>
          </w:rPr>
          <w:tab/>
        </w:r>
        <w:r w:rsidR="00BD7894" w:rsidRPr="00BE348D">
          <w:rPr>
            <w:rStyle w:val="Hyperlink"/>
            <w:noProof/>
          </w:rPr>
          <w:t>Description of DNA to be introduced and method of transformation</w:t>
        </w:r>
        <w:r w:rsidR="00BD7894">
          <w:rPr>
            <w:noProof/>
            <w:webHidden/>
          </w:rPr>
          <w:tab/>
        </w:r>
        <w:r w:rsidR="00BD7894">
          <w:rPr>
            <w:noProof/>
            <w:webHidden/>
          </w:rPr>
          <w:fldChar w:fldCharType="begin"/>
        </w:r>
        <w:r w:rsidR="00BD7894">
          <w:rPr>
            <w:noProof/>
            <w:webHidden/>
          </w:rPr>
          <w:instrText xml:space="preserve"> PAGEREF _Toc16848717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54F2DBBF" w14:textId="1FBEA886"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18" w:history="1">
        <w:r w:rsidR="00BD7894" w:rsidRPr="00BE348D">
          <w:rPr>
            <w:rStyle w:val="Hyperlink"/>
            <w:noProof/>
          </w:rPr>
          <w:t>3.2.2</w:t>
        </w:r>
        <w:r w:rsidR="00BD7894">
          <w:rPr>
            <w:rFonts w:eastAsiaTheme="minorEastAsia" w:cstheme="minorBidi"/>
            <w:i w:val="0"/>
            <w:iCs w:val="0"/>
            <w:noProof/>
            <w:sz w:val="22"/>
            <w:szCs w:val="22"/>
            <w:lang w:eastAsia="en-GB" w:bidi="ar-SA"/>
          </w:rPr>
          <w:tab/>
        </w:r>
        <w:r w:rsidR="00BD7894" w:rsidRPr="00BE348D">
          <w:rPr>
            <w:rStyle w:val="Hyperlink"/>
            <w:noProof/>
          </w:rPr>
          <w:t>Characterisation of the inserted DNA</w:t>
        </w:r>
        <w:r w:rsidR="00BD7894">
          <w:rPr>
            <w:noProof/>
            <w:webHidden/>
          </w:rPr>
          <w:tab/>
        </w:r>
        <w:r w:rsidR="00BD7894">
          <w:rPr>
            <w:noProof/>
            <w:webHidden/>
          </w:rPr>
          <w:fldChar w:fldCharType="begin"/>
        </w:r>
        <w:r w:rsidR="00BD7894">
          <w:rPr>
            <w:noProof/>
            <w:webHidden/>
          </w:rPr>
          <w:instrText xml:space="preserve"> PAGEREF _Toc16848718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03E50083" w14:textId="5CEF02F9"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19" w:history="1">
        <w:r w:rsidR="00BD7894" w:rsidRPr="00BE348D">
          <w:rPr>
            <w:rStyle w:val="Hyperlink"/>
            <w:noProof/>
          </w:rPr>
          <w:t>3.2.3</w:t>
        </w:r>
        <w:r w:rsidR="00BD7894">
          <w:rPr>
            <w:rFonts w:eastAsiaTheme="minorEastAsia" w:cstheme="minorBidi"/>
            <w:i w:val="0"/>
            <w:iCs w:val="0"/>
            <w:noProof/>
            <w:sz w:val="22"/>
            <w:szCs w:val="22"/>
            <w:lang w:eastAsia="en-GB" w:bidi="ar-SA"/>
          </w:rPr>
          <w:tab/>
        </w:r>
        <w:r w:rsidR="00BD7894" w:rsidRPr="00BE348D">
          <w:rPr>
            <w:rStyle w:val="Hyperlink"/>
            <w:noProof/>
          </w:rPr>
          <w:t>Stability of the production organisms and inheritance of the introduced DNA</w:t>
        </w:r>
        <w:r w:rsidR="00BD7894">
          <w:rPr>
            <w:noProof/>
            <w:webHidden/>
          </w:rPr>
          <w:tab/>
        </w:r>
        <w:r w:rsidR="00BD7894">
          <w:rPr>
            <w:noProof/>
            <w:webHidden/>
          </w:rPr>
          <w:fldChar w:fldCharType="begin"/>
        </w:r>
        <w:r w:rsidR="00BD7894">
          <w:rPr>
            <w:noProof/>
            <w:webHidden/>
          </w:rPr>
          <w:instrText xml:space="preserve"> PAGEREF _Toc16848719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03515811" w14:textId="5CC65A35" w:rsidR="00BD7894" w:rsidRDefault="00811C1E">
      <w:pPr>
        <w:pStyle w:val="TOC2"/>
        <w:tabs>
          <w:tab w:val="left" w:pos="880"/>
          <w:tab w:val="right" w:leader="dot" w:pos="9060"/>
        </w:tabs>
        <w:rPr>
          <w:rFonts w:eastAsiaTheme="minorEastAsia" w:cstheme="minorBidi"/>
          <w:smallCaps w:val="0"/>
          <w:noProof/>
          <w:sz w:val="22"/>
          <w:szCs w:val="22"/>
          <w:lang w:eastAsia="en-GB" w:bidi="ar-SA"/>
        </w:rPr>
      </w:pPr>
      <w:hyperlink w:anchor="_Toc16848720" w:history="1">
        <w:r w:rsidR="00BD7894" w:rsidRPr="00BE348D">
          <w:rPr>
            <w:rStyle w:val="Hyperlink"/>
            <w:noProof/>
          </w:rPr>
          <w:t>3.3</w:t>
        </w:r>
        <w:r w:rsidR="00BD7894">
          <w:rPr>
            <w:rFonts w:eastAsiaTheme="minorEastAsia" w:cstheme="minorBidi"/>
            <w:smallCaps w:val="0"/>
            <w:noProof/>
            <w:sz w:val="22"/>
            <w:szCs w:val="22"/>
            <w:lang w:eastAsia="en-GB" w:bidi="ar-SA"/>
          </w:rPr>
          <w:tab/>
        </w:r>
        <w:r w:rsidR="00BD7894" w:rsidRPr="00BE348D">
          <w:rPr>
            <w:rStyle w:val="Hyperlink"/>
            <w:noProof/>
          </w:rPr>
          <w:t>Safety of endo-inulinase</w:t>
        </w:r>
        <w:r w:rsidR="00BD7894">
          <w:rPr>
            <w:noProof/>
            <w:webHidden/>
          </w:rPr>
          <w:tab/>
        </w:r>
        <w:r w:rsidR="00BD7894">
          <w:rPr>
            <w:noProof/>
            <w:webHidden/>
          </w:rPr>
          <w:fldChar w:fldCharType="begin"/>
        </w:r>
        <w:r w:rsidR="00BD7894">
          <w:rPr>
            <w:noProof/>
            <w:webHidden/>
          </w:rPr>
          <w:instrText xml:space="preserve"> PAGEREF _Toc16848720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62AC39AC" w14:textId="75481AE3"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21" w:history="1">
        <w:r w:rsidR="00BD7894" w:rsidRPr="00BE348D">
          <w:rPr>
            <w:rStyle w:val="Hyperlink"/>
            <w:noProof/>
          </w:rPr>
          <w:t>3.3.1</w:t>
        </w:r>
        <w:r w:rsidR="00BD7894">
          <w:rPr>
            <w:rFonts w:eastAsiaTheme="minorEastAsia" w:cstheme="minorBidi"/>
            <w:i w:val="0"/>
            <w:iCs w:val="0"/>
            <w:noProof/>
            <w:sz w:val="22"/>
            <w:szCs w:val="22"/>
            <w:lang w:eastAsia="en-GB" w:bidi="ar-SA"/>
          </w:rPr>
          <w:tab/>
        </w:r>
        <w:r w:rsidR="00BD7894" w:rsidRPr="00BE348D">
          <w:rPr>
            <w:rStyle w:val="Hyperlink"/>
            <w:noProof/>
          </w:rPr>
          <w:t>History of safe use</w:t>
        </w:r>
        <w:r w:rsidR="00BD7894">
          <w:rPr>
            <w:noProof/>
            <w:webHidden/>
          </w:rPr>
          <w:tab/>
        </w:r>
        <w:r w:rsidR="00BD7894">
          <w:rPr>
            <w:noProof/>
            <w:webHidden/>
          </w:rPr>
          <w:fldChar w:fldCharType="begin"/>
        </w:r>
        <w:r w:rsidR="00BD7894">
          <w:rPr>
            <w:noProof/>
            <w:webHidden/>
          </w:rPr>
          <w:instrText xml:space="preserve"> PAGEREF _Toc16848721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042D6FDB" w14:textId="2DE34163"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22" w:history="1">
        <w:r w:rsidR="00BD7894" w:rsidRPr="00BE348D">
          <w:rPr>
            <w:rStyle w:val="Hyperlink"/>
            <w:noProof/>
          </w:rPr>
          <w:t>3.3.2</w:t>
        </w:r>
        <w:r w:rsidR="00BD7894">
          <w:rPr>
            <w:rFonts w:eastAsiaTheme="minorEastAsia" w:cstheme="minorBidi"/>
            <w:i w:val="0"/>
            <w:iCs w:val="0"/>
            <w:noProof/>
            <w:sz w:val="22"/>
            <w:szCs w:val="22"/>
            <w:lang w:eastAsia="en-GB" w:bidi="ar-SA"/>
          </w:rPr>
          <w:tab/>
        </w:r>
        <w:r w:rsidR="00BD7894" w:rsidRPr="00BE348D">
          <w:rPr>
            <w:rStyle w:val="Hyperlink"/>
            <w:noProof/>
          </w:rPr>
          <w:t>Bioinformatic assessment of enzyme toxicity</w:t>
        </w:r>
        <w:r w:rsidR="00BD7894">
          <w:rPr>
            <w:noProof/>
            <w:webHidden/>
          </w:rPr>
          <w:tab/>
        </w:r>
        <w:r w:rsidR="00BD7894">
          <w:rPr>
            <w:noProof/>
            <w:webHidden/>
          </w:rPr>
          <w:fldChar w:fldCharType="begin"/>
        </w:r>
        <w:r w:rsidR="00BD7894">
          <w:rPr>
            <w:noProof/>
            <w:webHidden/>
          </w:rPr>
          <w:instrText xml:space="preserve"> PAGEREF _Toc16848722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5E28CC0B" w14:textId="58ABA58A"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23" w:history="1">
        <w:r w:rsidR="00BD7894" w:rsidRPr="00BE348D">
          <w:rPr>
            <w:rStyle w:val="Hyperlink"/>
            <w:noProof/>
          </w:rPr>
          <w:t>3.3.3</w:t>
        </w:r>
        <w:r w:rsidR="00BD7894">
          <w:rPr>
            <w:rFonts w:eastAsiaTheme="minorEastAsia" w:cstheme="minorBidi"/>
            <w:i w:val="0"/>
            <w:iCs w:val="0"/>
            <w:noProof/>
            <w:sz w:val="22"/>
            <w:szCs w:val="22"/>
            <w:lang w:eastAsia="en-GB" w:bidi="ar-SA"/>
          </w:rPr>
          <w:tab/>
        </w:r>
        <w:r w:rsidR="00BD7894" w:rsidRPr="00BE348D">
          <w:rPr>
            <w:rStyle w:val="Hyperlink"/>
            <w:noProof/>
          </w:rPr>
          <w:t>Toxicology studies in animals</w:t>
        </w:r>
        <w:r w:rsidR="00BD7894">
          <w:rPr>
            <w:noProof/>
            <w:webHidden/>
          </w:rPr>
          <w:tab/>
        </w:r>
        <w:r w:rsidR="00BD7894">
          <w:rPr>
            <w:noProof/>
            <w:webHidden/>
          </w:rPr>
          <w:fldChar w:fldCharType="begin"/>
        </w:r>
        <w:r w:rsidR="00BD7894">
          <w:rPr>
            <w:noProof/>
            <w:webHidden/>
          </w:rPr>
          <w:instrText xml:space="preserve"> PAGEREF _Toc16848723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5E28B7A2" w14:textId="65139934"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24" w:history="1">
        <w:r w:rsidR="00BD7894" w:rsidRPr="00BE348D">
          <w:rPr>
            <w:rStyle w:val="Hyperlink"/>
            <w:noProof/>
          </w:rPr>
          <w:t>3.3.4</w:t>
        </w:r>
        <w:r w:rsidR="00BD7894">
          <w:rPr>
            <w:rFonts w:eastAsiaTheme="minorEastAsia" w:cstheme="minorBidi"/>
            <w:i w:val="0"/>
            <w:iCs w:val="0"/>
            <w:noProof/>
            <w:sz w:val="22"/>
            <w:szCs w:val="22"/>
            <w:lang w:eastAsia="en-GB" w:bidi="ar-SA"/>
          </w:rPr>
          <w:tab/>
        </w:r>
        <w:r w:rsidR="00BD7894" w:rsidRPr="00BE348D">
          <w:rPr>
            <w:rStyle w:val="Hyperlink"/>
            <w:noProof/>
          </w:rPr>
          <w:t>Genotoxicity assays</w:t>
        </w:r>
        <w:r w:rsidR="00BD7894">
          <w:rPr>
            <w:noProof/>
            <w:webHidden/>
          </w:rPr>
          <w:tab/>
        </w:r>
        <w:r w:rsidR="00BD7894">
          <w:rPr>
            <w:noProof/>
            <w:webHidden/>
          </w:rPr>
          <w:fldChar w:fldCharType="begin"/>
        </w:r>
        <w:r w:rsidR="00BD7894">
          <w:rPr>
            <w:noProof/>
            <w:webHidden/>
          </w:rPr>
          <w:instrText xml:space="preserve"> PAGEREF _Toc16848724 \h </w:instrText>
        </w:r>
        <w:r w:rsidR="00BD7894">
          <w:rPr>
            <w:noProof/>
            <w:webHidden/>
          </w:rPr>
        </w:r>
        <w:r w:rsidR="00BD7894">
          <w:rPr>
            <w:noProof/>
            <w:webHidden/>
          </w:rPr>
          <w:fldChar w:fldCharType="separate"/>
        </w:r>
        <w:r w:rsidR="00413B93">
          <w:rPr>
            <w:noProof/>
            <w:webHidden/>
          </w:rPr>
          <w:t>9</w:t>
        </w:r>
        <w:r w:rsidR="00BD7894">
          <w:rPr>
            <w:noProof/>
            <w:webHidden/>
          </w:rPr>
          <w:fldChar w:fldCharType="end"/>
        </w:r>
      </w:hyperlink>
    </w:p>
    <w:p w14:paraId="5B19A26F" w14:textId="0266126A"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25" w:history="1">
        <w:r w:rsidR="00BD7894" w:rsidRPr="00BE348D">
          <w:rPr>
            <w:rStyle w:val="Hyperlink"/>
            <w:noProof/>
          </w:rPr>
          <w:t>3.3.5</w:t>
        </w:r>
        <w:r w:rsidR="00BD7894">
          <w:rPr>
            <w:rFonts w:eastAsiaTheme="minorEastAsia" w:cstheme="minorBidi"/>
            <w:i w:val="0"/>
            <w:iCs w:val="0"/>
            <w:noProof/>
            <w:sz w:val="22"/>
            <w:szCs w:val="22"/>
            <w:lang w:eastAsia="en-GB" w:bidi="ar-SA"/>
          </w:rPr>
          <w:tab/>
        </w:r>
        <w:r w:rsidR="00BD7894" w:rsidRPr="00BE348D">
          <w:rPr>
            <w:rStyle w:val="Hyperlink"/>
            <w:noProof/>
          </w:rPr>
          <w:t>Potential for allergenicity</w:t>
        </w:r>
        <w:r w:rsidR="00BD7894">
          <w:rPr>
            <w:noProof/>
            <w:webHidden/>
          </w:rPr>
          <w:tab/>
        </w:r>
        <w:r w:rsidR="00BD7894">
          <w:rPr>
            <w:noProof/>
            <w:webHidden/>
          </w:rPr>
          <w:fldChar w:fldCharType="begin"/>
        </w:r>
        <w:r w:rsidR="00BD7894">
          <w:rPr>
            <w:noProof/>
            <w:webHidden/>
          </w:rPr>
          <w:instrText xml:space="preserve"> PAGEREF _Toc16848725 \h </w:instrText>
        </w:r>
        <w:r w:rsidR="00BD7894">
          <w:rPr>
            <w:noProof/>
            <w:webHidden/>
          </w:rPr>
        </w:r>
        <w:r w:rsidR="00BD7894">
          <w:rPr>
            <w:noProof/>
            <w:webHidden/>
          </w:rPr>
          <w:fldChar w:fldCharType="separate"/>
        </w:r>
        <w:r w:rsidR="00413B93">
          <w:rPr>
            <w:noProof/>
            <w:webHidden/>
          </w:rPr>
          <w:t>10</w:t>
        </w:r>
        <w:r w:rsidR="00BD7894">
          <w:rPr>
            <w:noProof/>
            <w:webHidden/>
          </w:rPr>
          <w:fldChar w:fldCharType="end"/>
        </w:r>
      </w:hyperlink>
    </w:p>
    <w:p w14:paraId="01795B56" w14:textId="5C1B6F80" w:rsidR="00BD7894" w:rsidRDefault="00811C1E">
      <w:pPr>
        <w:pStyle w:val="TOC3"/>
        <w:tabs>
          <w:tab w:val="left" w:pos="1100"/>
          <w:tab w:val="right" w:leader="dot" w:pos="9060"/>
        </w:tabs>
        <w:rPr>
          <w:rFonts w:eastAsiaTheme="minorEastAsia" w:cstheme="minorBidi"/>
          <w:i w:val="0"/>
          <w:iCs w:val="0"/>
          <w:noProof/>
          <w:sz w:val="22"/>
          <w:szCs w:val="22"/>
          <w:lang w:eastAsia="en-GB" w:bidi="ar-SA"/>
        </w:rPr>
      </w:pPr>
      <w:hyperlink w:anchor="_Toc16848726" w:history="1">
        <w:r w:rsidR="00BD7894" w:rsidRPr="00BE348D">
          <w:rPr>
            <w:rStyle w:val="Hyperlink"/>
            <w:noProof/>
          </w:rPr>
          <w:t>3.3.6</w:t>
        </w:r>
        <w:r w:rsidR="00BD7894">
          <w:rPr>
            <w:rFonts w:eastAsiaTheme="minorEastAsia" w:cstheme="minorBidi"/>
            <w:i w:val="0"/>
            <w:iCs w:val="0"/>
            <w:noProof/>
            <w:sz w:val="22"/>
            <w:szCs w:val="22"/>
            <w:lang w:eastAsia="en-GB" w:bidi="ar-SA"/>
          </w:rPr>
          <w:tab/>
        </w:r>
        <w:r w:rsidR="00BD7894" w:rsidRPr="00BE348D">
          <w:rPr>
            <w:rStyle w:val="Hyperlink"/>
            <w:noProof/>
          </w:rPr>
          <w:t>Approvals by other regulatory agencies</w:t>
        </w:r>
        <w:r w:rsidR="00BD7894">
          <w:rPr>
            <w:noProof/>
            <w:webHidden/>
          </w:rPr>
          <w:tab/>
        </w:r>
        <w:r w:rsidR="00BD7894">
          <w:rPr>
            <w:noProof/>
            <w:webHidden/>
          </w:rPr>
          <w:fldChar w:fldCharType="begin"/>
        </w:r>
        <w:r w:rsidR="00BD7894">
          <w:rPr>
            <w:noProof/>
            <w:webHidden/>
          </w:rPr>
          <w:instrText xml:space="preserve"> PAGEREF _Toc16848726 \h </w:instrText>
        </w:r>
        <w:r w:rsidR="00BD7894">
          <w:rPr>
            <w:noProof/>
            <w:webHidden/>
          </w:rPr>
        </w:r>
        <w:r w:rsidR="00BD7894">
          <w:rPr>
            <w:noProof/>
            <w:webHidden/>
          </w:rPr>
          <w:fldChar w:fldCharType="separate"/>
        </w:r>
        <w:r w:rsidR="00413B93">
          <w:rPr>
            <w:noProof/>
            <w:webHidden/>
          </w:rPr>
          <w:t>10</w:t>
        </w:r>
        <w:r w:rsidR="00BD7894">
          <w:rPr>
            <w:noProof/>
            <w:webHidden/>
          </w:rPr>
          <w:fldChar w:fldCharType="end"/>
        </w:r>
      </w:hyperlink>
    </w:p>
    <w:p w14:paraId="27B1B202" w14:textId="19F9CF53" w:rsidR="00BD7894" w:rsidRDefault="00811C1E">
      <w:pPr>
        <w:pStyle w:val="TOC1"/>
        <w:tabs>
          <w:tab w:val="right" w:leader="dot" w:pos="9060"/>
        </w:tabs>
        <w:rPr>
          <w:rFonts w:eastAsiaTheme="minorEastAsia" w:cstheme="minorBidi"/>
          <w:b w:val="0"/>
          <w:bCs w:val="0"/>
          <w:caps w:val="0"/>
          <w:noProof/>
          <w:sz w:val="22"/>
          <w:szCs w:val="22"/>
          <w:lang w:eastAsia="en-GB" w:bidi="ar-SA"/>
        </w:rPr>
      </w:pPr>
      <w:hyperlink w:anchor="_Toc16848727" w:history="1">
        <w:r w:rsidR="00BD7894" w:rsidRPr="00BE348D">
          <w:rPr>
            <w:rStyle w:val="Hyperlink"/>
            <w:noProof/>
          </w:rPr>
          <w:t>4 Discussion</w:t>
        </w:r>
        <w:r w:rsidR="00BD7894">
          <w:rPr>
            <w:noProof/>
            <w:webHidden/>
          </w:rPr>
          <w:tab/>
        </w:r>
        <w:r w:rsidR="00BD7894">
          <w:rPr>
            <w:noProof/>
            <w:webHidden/>
          </w:rPr>
          <w:fldChar w:fldCharType="begin"/>
        </w:r>
        <w:r w:rsidR="00BD7894">
          <w:rPr>
            <w:noProof/>
            <w:webHidden/>
          </w:rPr>
          <w:instrText xml:space="preserve"> PAGEREF _Toc16848727 \h </w:instrText>
        </w:r>
        <w:r w:rsidR="00BD7894">
          <w:rPr>
            <w:noProof/>
            <w:webHidden/>
          </w:rPr>
        </w:r>
        <w:r w:rsidR="00BD7894">
          <w:rPr>
            <w:noProof/>
            <w:webHidden/>
          </w:rPr>
          <w:fldChar w:fldCharType="separate"/>
        </w:r>
        <w:r w:rsidR="00413B93">
          <w:rPr>
            <w:noProof/>
            <w:webHidden/>
          </w:rPr>
          <w:t>10</w:t>
        </w:r>
        <w:r w:rsidR="00BD7894">
          <w:rPr>
            <w:noProof/>
            <w:webHidden/>
          </w:rPr>
          <w:fldChar w:fldCharType="end"/>
        </w:r>
      </w:hyperlink>
    </w:p>
    <w:p w14:paraId="6706C04E" w14:textId="7374C463" w:rsidR="00BD7894" w:rsidRDefault="00811C1E">
      <w:pPr>
        <w:pStyle w:val="TOC1"/>
        <w:tabs>
          <w:tab w:val="right" w:leader="dot" w:pos="9060"/>
        </w:tabs>
        <w:rPr>
          <w:rFonts w:eastAsiaTheme="minorEastAsia" w:cstheme="minorBidi"/>
          <w:b w:val="0"/>
          <w:bCs w:val="0"/>
          <w:caps w:val="0"/>
          <w:noProof/>
          <w:sz w:val="22"/>
          <w:szCs w:val="22"/>
          <w:lang w:eastAsia="en-GB" w:bidi="ar-SA"/>
        </w:rPr>
      </w:pPr>
      <w:hyperlink w:anchor="_Toc16848728" w:history="1">
        <w:r w:rsidR="00BD7894" w:rsidRPr="00BE348D">
          <w:rPr>
            <w:rStyle w:val="Hyperlink"/>
            <w:noProof/>
          </w:rPr>
          <w:t>5 Conclusion</w:t>
        </w:r>
        <w:r w:rsidR="00BD7894">
          <w:rPr>
            <w:noProof/>
            <w:webHidden/>
          </w:rPr>
          <w:tab/>
        </w:r>
        <w:r w:rsidR="00BD7894">
          <w:rPr>
            <w:noProof/>
            <w:webHidden/>
          </w:rPr>
          <w:fldChar w:fldCharType="begin"/>
        </w:r>
        <w:r w:rsidR="00BD7894">
          <w:rPr>
            <w:noProof/>
            <w:webHidden/>
          </w:rPr>
          <w:instrText xml:space="preserve"> PAGEREF _Toc16848728 \h </w:instrText>
        </w:r>
        <w:r w:rsidR="00BD7894">
          <w:rPr>
            <w:noProof/>
            <w:webHidden/>
          </w:rPr>
        </w:r>
        <w:r w:rsidR="00BD7894">
          <w:rPr>
            <w:noProof/>
            <w:webHidden/>
          </w:rPr>
          <w:fldChar w:fldCharType="separate"/>
        </w:r>
        <w:r w:rsidR="00413B93">
          <w:rPr>
            <w:noProof/>
            <w:webHidden/>
          </w:rPr>
          <w:t>11</w:t>
        </w:r>
        <w:r w:rsidR="00BD7894">
          <w:rPr>
            <w:noProof/>
            <w:webHidden/>
          </w:rPr>
          <w:fldChar w:fldCharType="end"/>
        </w:r>
      </w:hyperlink>
    </w:p>
    <w:p w14:paraId="090C63EB" w14:textId="2E8F3733" w:rsidR="00BD7894" w:rsidRDefault="00811C1E">
      <w:pPr>
        <w:pStyle w:val="TOC1"/>
        <w:tabs>
          <w:tab w:val="right" w:leader="dot" w:pos="9060"/>
        </w:tabs>
        <w:rPr>
          <w:rFonts w:eastAsiaTheme="minorEastAsia" w:cstheme="minorBidi"/>
          <w:b w:val="0"/>
          <w:bCs w:val="0"/>
          <w:caps w:val="0"/>
          <w:noProof/>
          <w:sz w:val="22"/>
          <w:szCs w:val="22"/>
          <w:lang w:eastAsia="en-GB" w:bidi="ar-SA"/>
        </w:rPr>
      </w:pPr>
      <w:hyperlink w:anchor="_Toc16848729" w:history="1">
        <w:r w:rsidR="00BD7894" w:rsidRPr="00BE348D">
          <w:rPr>
            <w:rStyle w:val="Hyperlink"/>
            <w:noProof/>
          </w:rPr>
          <w:t>6 References</w:t>
        </w:r>
        <w:r w:rsidR="00BD7894">
          <w:rPr>
            <w:noProof/>
            <w:webHidden/>
          </w:rPr>
          <w:tab/>
        </w:r>
        <w:r w:rsidR="00BD7894">
          <w:rPr>
            <w:noProof/>
            <w:webHidden/>
          </w:rPr>
          <w:fldChar w:fldCharType="begin"/>
        </w:r>
        <w:r w:rsidR="00BD7894">
          <w:rPr>
            <w:noProof/>
            <w:webHidden/>
          </w:rPr>
          <w:instrText xml:space="preserve"> PAGEREF _Toc16848729 \h </w:instrText>
        </w:r>
        <w:r w:rsidR="00BD7894">
          <w:rPr>
            <w:noProof/>
            <w:webHidden/>
          </w:rPr>
        </w:r>
        <w:r w:rsidR="00BD7894">
          <w:rPr>
            <w:noProof/>
            <w:webHidden/>
          </w:rPr>
          <w:fldChar w:fldCharType="separate"/>
        </w:r>
        <w:r w:rsidR="00413B93">
          <w:rPr>
            <w:noProof/>
            <w:webHidden/>
          </w:rPr>
          <w:t>11</w:t>
        </w:r>
        <w:r w:rsidR="00BD7894">
          <w:rPr>
            <w:noProof/>
            <w:webHidden/>
          </w:rPr>
          <w:fldChar w:fldCharType="end"/>
        </w:r>
      </w:hyperlink>
    </w:p>
    <w:p w14:paraId="61A5A49E" w14:textId="219A51B5"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6" w:name="_Toc501699816"/>
      <w:bookmarkStart w:id="7" w:name="_Toc536543984"/>
      <w:bookmarkStart w:id="8" w:name="_Toc536607119"/>
      <w:bookmarkStart w:id="9" w:name="_Toc16848701"/>
      <w:r>
        <w:lastRenderedPageBreak/>
        <w:t>1 Introduction</w:t>
      </w:r>
      <w:bookmarkEnd w:id="6"/>
      <w:bookmarkEnd w:id="7"/>
      <w:bookmarkEnd w:id="8"/>
      <w:bookmarkEnd w:id="9"/>
    </w:p>
    <w:p w14:paraId="0C729F4D" w14:textId="177A35AB" w:rsidR="001E6A7B" w:rsidRDefault="0087175E" w:rsidP="001E6A7B">
      <w:bookmarkStart w:id="10" w:name="_Toc501699817"/>
      <w:bookmarkEnd w:id="10"/>
      <w:r>
        <w:t>Puratos NV</w:t>
      </w:r>
      <w:r w:rsidR="00AB3FCF">
        <w:t xml:space="preserve"> </w:t>
      </w:r>
      <w:r w:rsidR="008B231D">
        <w:t xml:space="preserve">applied </w:t>
      </w:r>
      <w:r w:rsidR="001E6A7B">
        <w:t xml:space="preserve">to FSANZ </w:t>
      </w:r>
      <w:r w:rsidR="008B231D">
        <w:t>for</w:t>
      </w:r>
      <w:r w:rsidR="001E6A7B">
        <w:t xml:space="preserve"> permission to use the enzyme </w:t>
      </w:r>
      <w:r>
        <w:t xml:space="preserve">endo-inulinase </w:t>
      </w:r>
      <w:r w:rsidR="001E6A7B">
        <w:t>(EC 3.</w:t>
      </w:r>
      <w:r w:rsidR="00AB3FCF">
        <w:t>2</w:t>
      </w:r>
      <w:r w:rsidR="001E6A7B">
        <w:t>.1.</w:t>
      </w:r>
      <w:r>
        <w:t>7</w:t>
      </w:r>
      <w:r w:rsidR="001E6A7B">
        <w:t xml:space="preserve">) </w:t>
      </w:r>
      <w:r w:rsidR="008B231D" w:rsidRPr="00CA52E1">
        <w:t xml:space="preserve">as a processing aid in </w:t>
      </w:r>
      <w:r w:rsidR="008B231D">
        <w:t xml:space="preserve">hydrolysing inulin to produce </w:t>
      </w:r>
      <w:r w:rsidR="008B231D" w:rsidRPr="0087175E">
        <w:t>fructo-oligosaccharides (FOS).</w:t>
      </w:r>
      <w:r w:rsidR="008B231D">
        <w:t xml:space="preserve"> This endo-inulinase is </w:t>
      </w:r>
      <w:r w:rsidR="001E6A7B">
        <w:t xml:space="preserve">from a genetically modified </w:t>
      </w:r>
      <w:r w:rsidR="00EE2B87">
        <w:t xml:space="preserve">(GM) </w:t>
      </w:r>
      <w:r w:rsidR="001E6A7B">
        <w:t xml:space="preserve">strain of </w:t>
      </w:r>
      <w:r>
        <w:rPr>
          <w:i/>
        </w:rPr>
        <w:t>Aspergillus oryzae</w:t>
      </w:r>
      <w:r w:rsidR="0028261F">
        <w:rPr>
          <w:i/>
        </w:rPr>
        <w:t xml:space="preserve">, </w:t>
      </w:r>
      <w:r w:rsidR="0028261F" w:rsidRPr="0028261F">
        <w:t xml:space="preserve">containing the </w:t>
      </w:r>
      <w:r>
        <w:t xml:space="preserve">endo-inulinase </w:t>
      </w:r>
      <w:r w:rsidR="0028261F" w:rsidRPr="0028261F">
        <w:t>gene from</w:t>
      </w:r>
      <w:r w:rsidR="0028261F" w:rsidRPr="0028261F">
        <w:rPr>
          <w:i/>
        </w:rPr>
        <w:t xml:space="preserve"> </w:t>
      </w:r>
      <w:r>
        <w:rPr>
          <w:i/>
        </w:rPr>
        <w:t>Aspergillus ficuum</w:t>
      </w:r>
      <w:r w:rsidR="008B231D">
        <w:rPr>
          <w:i/>
        </w:rPr>
        <w:t>.</w:t>
      </w:r>
      <w:r w:rsidR="00AB3FCF">
        <w:rPr>
          <w:i/>
        </w:rPr>
        <w:t xml:space="preserve"> </w:t>
      </w:r>
    </w:p>
    <w:p w14:paraId="2455F6EF" w14:textId="21AC4F43" w:rsidR="001E6A7B" w:rsidRDefault="001E6A7B" w:rsidP="001E6A7B"/>
    <w:p w14:paraId="10EEFDE0" w14:textId="206B7F3C" w:rsidR="001E6A7B" w:rsidRPr="00B659CB" w:rsidRDefault="00426F2C" w:rsidP="00426F2C">
      <w:r>
        <w:t xml:space="preserve">Currently, Schedule </w:t>
      </w:r>
      <w:r w:rsidRPr="00537681">
        <w:t xml:space="preserve">18 </w:t>
      </w:r>
      <w:r>
        <w:t xml:space="preserve">of the </w:t>
      </w:r>
      <w:r w:rsidRPr="00426F2C">
        <w:t xml:space="preserve">Australia New Zealand Food Standards Code (the Code) </w:t>
      </w:r>
      <w:r w:rsidR="00821E30">
        <w:t xml:space="preserve">permits </w:t>
      </w:r>
      <w:r w:rsidR="00077487">
        <w:t xml:space="preserve">the </w:t>
      </w:r>
      <w:r w:rsidR="00821E30">
        <w:t xml:space="preserve">use of 18 different enzymes produced by </w:t>
      </w:r>
      <w:r w:rsidR="007C7342">
        <w:rPr>
          <w:i/>
        </w:rPr>
        <w:t>A. oryzae</w:t>
      </w:r>
      <w:r w:rsidR="007C7342">
        <w:t xml:space="preserve"> </w:t>
      </w:r>
      <w:r w:rsidR="00E03889">
        <w:t>(both GM and non-GM)</w:t>
      </w:r>
      <w:r w:rsidR="00821E30">
        <w:t>. However,</w:t>
      </w:r>
      <w:r w:rsidR="007C7342">
        <w:t xml:space="preserve"> the Code does not </w:t>
      </w:r>
      <w:r w:rsidR="00077487">
        <w:t xml:space="preserve">currently </w:t>
      </w:r>
      <w:r w:rsidR="007C7342">
        <w:t xml:space="preserve">include </w:t>
      </w:r>
      <w:r w:rsidR="0087175E">
        <w:t xml:space="preserve">a </w:t>
      </w:r>
      <w:r w:rsidRPr="00537681">
        <w:t xml:space="preserve">permission </w:t>
      </w:r>
      <w:r w:rsidR="00E03889">
        <w:t xml:space="preserve">to use </w:t>
      </w:r>
      <w:r w:rsidR="007C7342">
        <w:t>endo-</w:t>
      </w:r>
      <w:r w:rsidR="0087175E">
        <w:t>inulinase</w:t>
      </w:r>
      <w:r w:rsidR="008B231D">
        <w:t xml:space="preserve"> </w:t>
      </w:r>
      <w:r w:rsidR="00821E30">
        <w:t>produced by</w:t>
      </w:r>
      <w:r w:rsidR="008B231D">
        <w:t xml:space="preserve"> </w:t>
      </w:r>
      <w:r w:rsidR="00821E30">
        <w:t xml:space="preserve">a GM strain of </w:t>
      </w:r>
      <w:r w:rsidR="00E03889">
        <w:rPr>
          <w:i/>
        </w:rPr>
        <w:t>A. oryzae</w:t>
      </w:r>
      <w:r w:rsidR="00821E30">
        <w:rPr>
          <w:i/>
        </w:rPr>
        <w:t xml:space="preserve"> </w:t>
      </w:r>
      <w:r w:rsidR="00821E30">
        <w:t>that contains</w:t>
      </w:r>
      <w:r w:rsidR="00E03889">
        <w:t xml:space="preserve"> </w:t>
      </w:r>
      <w:r w:rsidR="00821E30">
        <w:t xml:space="preserve">the </w:t>
      </w:r>
      <w:r w:rsidR="00E03889">
        <w:t xml:space="preserve">endo-inulinase gene from </w:t>
      </w:r>
      <w:r w:rsidR="00E03889">
        <w:rPr>
          <w:i/>
        </w:rPr>
        <w:t>A. ficuum</w:t>
      </w:r>
      <w:r w:rsidR="0056591F">
        <w:rPr>
          <w:i/>
        </w:rPr>
        <w:t xml:space="preserve">. </w:t>
      </w:r>
      <w:r>
        <w:t>T</w:t>
      </w:r>
      <w:r w:rsidR="001E6A7B">
        <w:t xml:space="preserve">herefore, </w:t>
      </w:r>
      <w:r w:rsidR="00503A80">
        <w:t xml:space="preserve">this enzyme needs </w:t>
      </w:r>
      <w:r w:rsidR="00D43C1A" w:rsidRPr="00B659CB">
        <w:t xml:space="preserve">a pre-market assessment </w:t>
      </w:r>
      <w:r w:rsidR="00503A80">
        <w:t xml:space="preserve">before permission can be given for its use as </w:t>
      </w:r>
      <w:r w:rsidR="00821E30">
        <w:t xml:space="preserve">a processing </w:t>
      </w:r>
      <w:r w:rsidR="001E6A7B" w:rsidRPr="00B659CB">
        <w:t>aid</w:t>
      </w:r>
      <w:r w:rsidR="00D43C1A">
        <w:t>.</w:t>
      </w:r>
      <w:r w:rsidR="001E6A7B" w:rsidRPr="00B659CB">
        <w:t xml:space="preserve"> </w:t>
      </w:r>
    </w:p>
    <w:p w14:paraId="34CE1CB6" w14:textId="77777777" w:rsidR="00B4058D" w:rsidRDefault="00B4058D" w:rsidP="00B4058D">
      <w:pPr>
        <w:pStyle w:val="Heading2"/>
      </w:pPr>
      <w:bookmarkStart w:id="11" w:name="_Toc536543985"/>
      <w:bookmarkStart w:id="12" w:name="_Toc536607120"/>
      <w:bookmarkStart w:id="13" w:name="_Toc16848702"/>
      <w:r>
        <w:t>1.1</w:t>
      </w:r>
      <w:r>
        <w:tab/>
        <w:t>Objectives of the assessment</w:t>
      </w:r>
      <w:bookmarkEnd w:id="11"/>
      <w:bookmarkEnd w:id="12"/>
      <w:bookmarkEnd w:id="13"/>
    </w:p>
    <w:p w14:paraId="5C224C18" w14:textId="573B2411" w:rsidR="001E6A7B" w:rsidRPr="00B659CB" w:rsidRDefault="001E6A7B" w:rsidP="001E6A7B">
      <w:r w:rsidRPr="00B659CB">
        <w:t xml:space="preserve">The objectives of this risk </w:t>
      </w:r>
      <w:r w:rsidR="00BA7C09">
        <w:t xml:space="preserve">and technical </w:t>
      </w:r>
      <w:r w:rsidRPr="00B659CB">
        <w:t>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37EDCF1A" w:rsidR="00AF339B" w:rsidRPr="00F87D40" w:rsidRDefault="001E6A7B" w:rsidP="00B13FF8">
      <w:pPr>
        <w:pStyle w:val="FSBullet1"/>
      </w:pPr>
      <w:r w:rsidRPr="00B659CB">
        <w:t xml:space="preserve">evaluate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9A00CD">
        <w:t>micro</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2DE1D3DD" w:rsidR="00AF339B" w:rsidRDefault="00AF339B" w:rsidP="00B13FF8">
      <w:pPr>
        <w:pStyle w:val="FSBullet2"/>
      </w:pPr>
      <w:r w:rsidRPr="00F853CC">
        <w:t>history of us</w:t>
      </w:r>
      <w:r>
        <w:t xml:space="preserve">e of the gene donor </w:t>
      </w:r>
      <w:r w:rsidR="00BA7C09">
        <w:t xml:space="preserve">and production </w:t>
      </w:r>
      <w:r w:rsidR="009A00CD">
        <w:t>micro</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77777777" w:rsidR="001E6A7B" w:rsidRDefault="001E6A7B" w:rsidP="001E6A7B">
      <w:pPr>
        <w:pStyle w:val="Heading1"/>
      </w:pPr>
      <w:bookmarkStart w:id="14" w:name="_Toc536543986"/>
      <w:bookmarkStart w:id="15" w:name="_Toc536607121"/>
      <w:bookmarkStart w:id="16" w:name="_Toc16848703"/>
      <w:r>
        <w:t>2 Food technology assessment</w:t>
      </w:r>
      <w:bookmarkEnd w:id="14"/>
      <w:bookmarkEnd w:id="15"/>
      <w:bookmarkEnd w:id="16"/>
    </w:p>
    <w:p w14:paraId="28876474" w14:textId="77777777" w:rsidR="001E6A7B" w:rsidRDefault="001E6A7B" w:rsidP="001E6A7B">
      <w:pPr>
        <w:pStyle w:val="Heading2"/>
      </w:pPr>
      <w:bookmarkStart w:id="17" w:name="_Toc472327044"/>
      <w:bookmarkStart w:id="18" w:name="_Toc501699819"/>
      <w:bookmarkStart w:id="19" w:name="_Toc536543987"/>
      <w:bookmarkStart w:id="20" w:name="_Toc536607122"/>
      <w:bookmarkStart w:id="21" w:name="_Toc16848704"/>
      <w:r>
        <w:t>2.1</w:t>
      </w:r>
      <w:r>
        <w:tab/>
        <w:t>Characterisation of the enzyme</w:t>
      </w:r>
      <w:bookmarkEnd w:id="17"/>
      <w:bookmarkEnd w:id="18"/>
      <w:bookmarkEnd w:id="19"/>
      <w:bookmarkEnd w:id="20"/>
      <w:bookmarkEnd w:id="21"/>
    </w:p>
    <w:p w14:paraId="6D257B39" w14:textId="77777777" w:rsidR="001E6A7B" w:rsidRDefault="001E6A7B" w:rsidP="003D1FD4">
      <w:pPr>
        <w:pStyle w:val="Heading3"/>
      </w:pPr>
      <w:bookmarkStart w:id="22" w:name="_Toc536543988"/>
      <w:bookmarkStart w:id="23" w:name="_Toc536607123"/>
      <w:bookmarkStart w:id="24" w:name="_Toc16848705"/>
      <w:r>
        <w:t>2.1.1</w:t>
      </w:r>
      <w:r>
        <w:tab/>
        <w:t>Identity of the enzyme</w:t>
      </w:r>
      <w:bookmarkEnd w:id="22"/>
      <w:bookmarkEnd w:id="23"/>
      <w:bookmarkEnd w:id="24"/>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tab/>
      </w:r>
    </w:p>
    <w:p w14:paraId="2EB63B35" w14:textId="13BB13E6" w:rsidR="001E6A7B" w:rsidRDefault="001E6A7B" w:rsidP="001E6A7B">
      <w:r>
        <w:t>Accepted</w:t>
      </w:r>
      <w:r w:rsidRPr="006014F1">
        <w:t xml:space="preserve"> IUBMB</w:t>
      </w:r>
      <w:r w:rsidRPr="006014F1">
        <w:rPr>
          <w:rStyle w:val="FootnoteReference"/>
        </w:rPr>
        <w:footnoteReference w:id="2"/>
      </w:r>
      <w:r>
        <w:t>/common</w:t>
      </w:r>
      <w:r w:rsidRPr="006014F1">
        <w:t xml:space="preserve"> name:</w:t>
      </w:r>
      <w:r>
        <w:tab/>
      </w:r>
      <w:r w:rsidR="005D5AD8">
        <w:tab/>
      </w:r>
      <w:r w:rsidR="007C7342">
        <w:t>inulinase</w:t>
      </w:r>
      <w:r w:rsidR="00D2768A">
        <w:rPr>
          <w:rStyle w:val="FootnoteReference"/>
        </w:rPr>
        <w:footnoteReference w:id="3"/>
      </w:r>
    </w:p>
    <w:p w14:paraId="200A384C" w14:textId="77777777" w:rsidR="001E6A7B" w:rsidRPr="006014F1" w:rsidRDefault="001E6A7B" w:rsidP="001E6A7B"/>
    <w:p w14:paraId="431E7F7F" w14:textId="20E7460A" w:rsidR="001E6A7B" w:rsidRPr="006014F1" w:rsidRDefault="001E6A7B" w:rsidP="001E6A7B">
      <w:r w:rsidRPr="006014F1">
        <w:t xml:space="preserve">Systematic name: </w:t>
      </w:r>
      <w:r w:rsidRPr="006014F1">
        <w:tab/>
      </w:r>
      <w:r w:rsidRPr="006014F1">
        <w:tab/>
      </w:r>
      <w:r w:rsidR="00E03889">
        <w:tab/>
      </w:r>
      <w:r w:rsidRPr="006014F1">
        <w:tab/>
      </w:r>
      <w:r w:rsidR="00E03889" w:rsidRPr="00E03889">
        <w:t>1-β-D-fructan fructanohydrolase</w:t>
      </w:r>
      <w:r w:rsidR="005D5AD8">
        <w:tab/>
      </w:r>
    </w:p>
    <w:p w14:paraId="040DF458" w14:textId="77777777" w:rsidR="001E6A7B" w:rsidRPr="006014F1" w:rsidRDefault="001E6A7B" w:rsidP="001E6A7B"/>
    <w:p w14:paraId="26639934" w14:textId="2C356B33" w:rsidR="001E6A7B" w:rsidRPr="006014F1" w:rsidRDefault="00426F2C" w:rsidP="005D5AD8">
      <w:r>
        <w:t>IUBMB enzyme nomenclature:</w:t>
      </w:r>
      <w:r>
        <w:tab/>
      </w:r>
      <w:r w:rsidR="005D5AD8">
        <w:tab/>
      </w:r>
      <w:r w:rsidR="007C7342">
        <w:t>EC 3.2.1.</w:t>
      </w:r>
      <w:r w:rsidR="00E03889">
        <w:t>7</w:t>
      </w:r>
    </w:p>
    <w:p w14:paraId="55F9336F" w14:textId="77777777" w:rsidR="001E6A7B" w:rsidRPr="006014F1" w:rsidRDefault="001E6A7B" w:rsidP="001E6A7B">
      <w:pPr>
        <w:tabs>
          <w:tab w:val="left" w:pos="6100"/>
        </w:tabs>
      </w:pPr>
      <w:r w:rsidRPr="006014F1">
        <w:tab/>
      </w:r>
    </w:p>
    <w:p w14:paraId="54371778" w14:textId="7B76E7DE" w:rsidR="001E6A7B" w:rsidRPr="00887678" w:rsidRDefault="001E6A7B" w:rsidP="001E6A7B">
      <w:pPr>
        <w:rPr>
          <w:highlight w:val="yellow"/>
        </w:rPr>
      </w:pPr>
      <w:r w:rsidRPr="006014F1">
        <w:t>CAS</w:t>
      </w:r>
      <w:r>
        <w:rPr>
          <w:rStyle w:val="FootnoteReference"/>
        </w:rPr>
        <w:footnoteReference w:id="4"/>
      </w:r>
      <w:r w:rsidRPr="006014F1">
        <w:t xml:space="preserve"> number:</w:t>
      </w:r>
      <w:r w:rsidRPr="006014F1">
        <w:tab/>
      </w:r>
      <w:r w:rsidRPr="006014F1">
        <w:tab/>
      </w:r>
      <w:r w:rsidRPr="006014F1">
        <w:tab/>
      </w:r>
      <w:r w:rsidRPr="006014F1">
        <w:tab/>
      </w:r>
      <w:r w:rsidR="005D5AD8">
        <w:tab/>
      </w:r>
      <w:r w:rsidR="00BE539E" w:rsidRPr="00BE539E">
        <w:t>9025-67-6</w:t>
      </w:r>
    </w:p>
    <w:p w14:paraId="608C30E1" w14:textId="77777777" w:rsidR="001E6A7B" w:rsidRPr="00887678" w:rsidRDefault="001E6A7B" w:rsidP="001E6A7B">
      <w:pPr>
        <w:rPr>
          <w:highlight w:val="yellow"/>
        </w:rPr>
      </w:pPr>
    </w:p>
    <w:p w14:paraId="2B5344A9" w14:textId="11B0D8F6" w:rsidR="00E03889" w:rsidRDefault="001E6A7B"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r w:rsidRPr="006014F1">
        <w:t>Other names:</w:t>
      </w:r>
      <w:r w:rsidRPr="006014F1">
        <w:tab/>
      </w:r>
      <w:r w:rsidRPr="006014F1">
        <w:tab/>
      </w:r>
      <w:r w:rsidRPr="006014F1">
        <w:tab/>
      </w:r>
      <w:r w:rsidRPr="006014F1">
        <w:tab/>
      </w:r>
      <w:r w:rsidR="005D5AD8">
        <w:tab/>
      </w:r>
      <w:r w:rsidR="00E03889" w:rsidRPr="00E03889">
        <w:rPr>
          <w:b/>
        </w:rPr>
        <w:t>endo-inulinase</w:t>
      </w:r>
      <w:r w:rsidR="00E03889">
        <w:t xml:space="preserve">; </w:t>
      </w:r>
      <w:r w:rsidR="00E03889" w:rsidRPr="00503A80">
        <w:t>inulase</w:t>
      </w:r>
      <w:r w:rsidR="00E03889">
        <w:t>; indoinulinase;</w:t>
      </w:r>
      <w:r w:rsidR="00B2724F">
        <w:t xml:space="preserve"> </w:t>
      </w:r>
      <w:r w:rsidR="00E03889">
        <w:lastRenderedPageBreak/>
        <w:t>exoinulinase; 2,1-β-D-fructan fructanohydrolase</w:t>
      </w:r>
    </w:p>
    <w:p w14:paraId="347DC3A3" w14:textId="77777777" w:rsidR="00E03889" w:rsidRDefault="00E03889"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p>
    <w:p w14:paraId="7207C70F" w14:textId="59CA8D44" w:rsidR="001E6A7B" w:rsidRDefault="001E6A7B" w:rsidP="005D5AD8">
      <w:pPr>
        <w:ind w:left="3969" w:hanging="3969"/>
      </w:pPr>
      <w:r w:rsidRPr="00B81575">
        <w:t>Reaction:</w:t>
      </w:r>
      <w:r w:rsidRPr="00B81575">
        <w:tab/>
      </w:r>
      <w:r w:rsidR="0048315D">
        <w:tab/>
        <w:t>E</w:t>
      </w:r>
      <w:r w:rsidR="0048315D" w:rsidRPr="0048315D">
        <w:t>ndohydrolysis of (2→1)-β-D-</w:t>
      </w:r>
      <w:r w:rsidR="0048315D">
        <w:t>fructosidic linkages in inulin</w:t>
      </w:r>
    </w:p>
    <w:p w14:paraId="2F6C6E68" w14:textId="77777777" w:rsidR="001E6A7B" w:rsidRPr="007D343B" w:rsidRDefault="001E6A7B" w:rsidP="003D1FD4">
      <w:pPr>
        <w:pStyle w:val="Heading3"/>
      </w:pPr>
      <w:bookmarkStart w:id="25" w:name="_Toc536543989"/>
      <w:bookmarkStart w:id="26" w:name="_Toc536607124"/>
      <w:bookmarkStart w:id="27" w:name="_Toc16848706"/>
      <w:r>
        <w:t>2.1.2</w:t>
      </w:r>
      <w:r>
        <w:tab/>
        <w:t>Technological purpose of the enzyme</w:t>
      </w:r>
      <w:bookmarkEnd w:id="25"/>
      <w:bookmarkEnd w:id="26"/>
      <w:bookmarkEnd w:id="27"/>
    </w:p>
    <w:p w14:paraId="05D3A2EA" w14:textId="77777777" w:rsidR="005A43CF" w:rsidRDefault="00624E2B" w:rsidP="001E6A7B">
      <w:r w:rsidRPr="00624E2B">
        <w:t xml:space="preserve">Inulin is a generic term used to describe polysaccharides of various lengths composed of fructose, typically with a single terminal glucose. </w:t>
      </w:r>
      <w:r>
        <w:t xml:space="preserve">It is naturally present in a range of plant foods </w:t>
      </w:r>
      <w:r w:rsidR="00A27EE6">
        <w:t xml:space="preserve">including </w:t>
      </w:r>
      <w:r w:rsidRPr="00624E2B">
        <w:t>chicory root, Jerusalem artichoke, garlic and onion</w:t>
      </w:r>
      <w:r w:rsidR="00A27EE6">
        <w:t xml:space="preserve">. </w:t>
      </w:r>
    </w:p>
    <w:p w14:paraId="6930E361" w14:textId="77777777" w:rsidR="005A43CF" w:rsidRDefault="005A43CF" w:rsidP="001E6A7B"/>
    <w:p w14:paraId="36B7C975" w14:textId="77777777" w:rsidR="005C7964" w:rsidRDefault="00A27EE6" w:rsidP="001E6A7B">
      <w:r>
        <w:t>The technological purpose of e</w:t>
      </w:r>
      <w:r w:rsidR="007C7342">
        <w:t>ndo-inulinase</w:t>
      </w:r>
      <w:r w:rsidR="005A43CF">
        <w:t>, as described by the applicant,</w:t>
      </w:r>
      <w:r w:rsidR="00505C4F" w:rsidRPr="00E711A5">
        <w:t xml:space="preserve"> </w:t>
      </w:r>
      <w:r>
        <w:t xml:space="preserve">is to catalyse the hydrolysis of </w:t>
      </w:r>
      <w:r w:rsidR="0048315D" w:rsidRPr="0048315D">
        <w:t>(2→1)-β-D-fructosidic linkages in inulin</w:t>
      </w:r>
      <w:r>
        <w:t xml:space="preserve"> to form </w:t>
      </w:r>
      <w:r w:rsidR="0048315D" w:rsidRPr="0048315D">
        <w:t>FOS</w:t>
      </w:r>
      <w:r>
        <w:t>. Th</w:t>
      </w:r>
      <w:r w:rsidR="005A43CF">
        <w:t xml:space="preserve">is technological purpose is supported by the </w:t>
      </w:r>
      <w:r>
        <w:t xml:space="preserve">scientific literature </w:t>
      </w:r>
      <w:r w:rsidR="006B08A1">
        <w:t>(Zittan</w:t>
      </w:r>
      <w:r>
        <w:t xml:space="preserve"> </w:t>
      </w:r>
      <w:r w:rsidR="006B08A1">
        <w:t>1981</w:t>
      </w:r>
      <w:r>
        <w:t>).</w:t>
      </w:r>
      <w:r w:rsidR="005C7964">
        <w:t xml:space="preserve"> </w:t>
      </w:r>
    </w:p>
    <w:p w14:paraId="7B744EFF" w14:textId="77777777" w:rsidR="00977A90" w:rsidRDefault="00977A90" w:rsidP="00977A90"/>
    <w:p w14:paraId="0D829233" w14:textId="47CC19AF" w:rsidR="00977A90" w:rsidRDefault="00977A90" w:rsidP="00977A90">
      <w:pPr>
        <w:rPr>
          <w:rFonts w:cs="Arial"/>
        </w:rPr>
      </w:pPr>
      <w:r>
        <w:t xml:space="preserve">FOS can be added to a variety of processed foods such as dairy products, cereal bars, meal replacement beverages, infant formula and </w:t>
      </w:r>
      <w:r w:rsidR="00077487">
        <w:t xml:space="preserve">infant </w:t>
      </w:r>
      <w:r>
        <w:t xml:space="preserve">foods as a </w:t>
      </w:r>
      <w:r w:rsidRPr="00A27EE6">
        <w:t>sugar alternative, low caloric bulking agent</w:t>
      </w:r>
      <w:r>
        <w:t>,</w:t>
      </w:r>
      <w:r w:rsidRPr="00A27EE6">
        <w:t xml:space="preserve"> and for dietary fibre supplementation</w:t>
      </w:r>
      <w:r>
        <w:t>.</w:t>
      </w:r>
    </w:p>
    <w:p w14:paraId="6A2B8756" w14:textId="77777777" w:rsidR="005C7964" w:rsidRDefault="005C7964" w:rsidP="001E6A7B"/>
    <w:p w14:paraId="4F83C780" w14:textId="4B918633" w:rsidR="00D43C1A" w:rsidRDefault="00F27D53" w:rsidP="001E6A7B">
      <w:r>
        <w:t xml:space="preserve">Schedule 18 of the Code currently permits the use of only one inulinase (EC 3.2.1.7) sourced from </w:t>
      </w:r>
      <w:r w:rsidR="00FA68D6">
        <w:rPr>
          <w:i/>
        </w:rPr>
        <w:t xml:space="preserve">A. </w:t>
      </w:r>
      <w:r>
        <w:rPr>
          <w:i/>
        </w:rPr>
        <w:t xml:space="preserve">niger. </w:t>
      </w:r>
      <w:r w:rsidR="00977A90">
        <w:t>However, t</w:t>
      </w:r>
      <w:r>
        <w:t>he application notes that d</w:t>
      </w:r>
      <w:r w:rsidR="005C7964">
        <w:t xml:space="preserve">ifferent inulinases can </w:t>
      </w:r>
      <w:r>
        <w:t xml:space="preserve">vary in their </w:t>
      </w:r>
      <w:r w:rsidR="005C7964">
        <w:t>pH and temperature</w:t>
      </w:r>
      <w:r>
        <w:t xml:space="preserve"> optima. Therefore,</w:t>
      </w:r>
      <w:r w:rsidR="00977A90">
        <w:t xml:space="preserve"> if permitted,</w:t>
      </w:r>
      <w:r>
        <w:t xml:space="preserve"> this endo-inulinase will provide an additional option for producers of FOS. </w:t>
      </w:r>
      <w:r w:rsidR="00D43C1A">
        <w:t xml:space="preserve">Which form of the enzyme a </w:t>
      </w:r>
      <w:r>
        <w:t>FOS</w:t>
      </w:r>
      <w:r w:rsidR="00D43C1A">
        <w:t xml:space="preserve"> manufacturer will use will depend on a range of factors, including performa</w:t>
      </w:r>
      <w:r>
        <w:t>n</w:t>
      </w:r>
      <w:r w:rsidR="00D43C1A">
        <w:t>ce</w:t>
      </w:r>
      <w:r>
        <w:t xml:space="preserve"> </w:t>
      </w:r>
      <w:r w:rsidR="00977A90">
        <w:t>under certain conditions</w:t>
      </w:r>
      <w:r w:rsidR="00D43C1A">
        <w:t xml:space="preserve"> and </w:t>
      </w:r>
      <w:r w:rsidR="00C23E19">
        <w:t>commercial considerations.</w:t>
      </w:r>
    </w:p>
    <w:p w14:paraId="346FEC53" w14:textId="77777777" w:rsidR="00BF31D4" w:rsidRDefault="00BF31D4" w:rsidP="001E6A7B"/>
    <w:p w14:paraId="2E3B28B9" w14:textId="1CE5BC27" w:rsidR="001E6A7B" w:rsidRPr="00F213F2" w:rsidRDefault="00E36D1A" w:rsidP="001E6A7B">
      <w:r>
        <w:t>The p</w:t>
      </w:r>
      <w:r w:rsidR="001E6A7B" w:rsidRPr="00F213F2">
        <w:t xml:space="preserve">hysical </w:t>
      </w:r>
      <w:r>
        <w:t xml:space="preserve">and chemical </w:t>
      </w:r>
      <w:r w:rsidR="001E6A7B" w:rsidRPr="00F213F2">
        <w:t>properties of the enzyme preparation are presented in Table 1.</w:t>
      </w:r>
    </w:p>
    <w:p w14:paraId="3C30BBCD" w14:textId="6D6DF816" w:rsidR="001E6A7B" w:rsidRPr="001C5015" w:rsidRDefault="001E6A7B" w:rsidP="001E6A7B">
      <w:pPr>
        <w:pStyle w:val="FSTableFigureHeading"/>
        <w:rPr>
          <w:b w:val="0"/>
        </w:rPr>
      </w:pPr>
      <w:r w:rsidRPr="001C5015">
        <w:t xml:space="preserve">Table </w:t>
      </w:r>
      <w:r w:rsidR="001C5015" w:rsidRPr="001C5015">
        <w:t>1</w:t>
      </w:r>
      <w:r w:rsidRPr="001C5015">
        <w:tab/>
      </w:r>
      <w:r w:rsidR="00263497">
        <w:rPr>
          <w:b w:val="0"/>
        </w:rPr>
        <w:t>Endo-inulinase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W w:w="0" w:type="auto"/>
        <w:tblInd w:w="-108" w:type="dxa"/>
        <w:tblLayout w:type="fixed"/>
        <w:tblLook w:val="0000" w:firstRow="0" w:lastRow="0" w:firstColumn="0" w:lastColumn="0" w:noHBand="0" w:noVBand="0"/>
      </w:tblPr>
      <w:tblGrid>
        <w:gridCol w:w="2943"/>
        <w:gridCol w:w="4395"/>
      </w:tblGrid>
      <w:tr w:rsidR="001E6A7B" w:rsidRPr="00426F2C" w14:paraId="34353CDD" w14:textId="77777777" w:rsidTr="006E3847">
        <w:trPr>
          <w:trHeight w:val="108"/>
        </w:trPr>
        <w:tc>
          <w:tcPr>
            <w:tcW w:w="7338" w:type="dxa"/>
            <w:gridSpan w:val="2"/>
            <w:shd w:val="clear" w:color="auto" w:fill="616571"/>
            <w:vAlign w:val="center"/>
          </w:tcPr>
          <w:p w14:paraId="34A189EE" w14:textId="6993B98F" w:rsidR="001E6A7B" w:rsidRPr="00426F2C" w:rsidRDefault="001E6A7B" w:rsidP="00A7119C">
            <w:pPr>
              <w:spacing w:before="120" w:after="120"/>
              <w:ind w:left="170" w:right="284"/>
              <w:jc w:val="center"/>
              <w:rPr>
                <w:b/>
                <w:color w:val="FFFFFF" w:themeColor="background1"/>
                <w:sz w:val="20"/>
                <w:highlight w:val="yellow"/>
                <w:lang w:eastAsia="en-GB"/>
              </w:rPr>
            </w:pPr>
            <w:r w:rsidRPr="00A7119C">
              <w:rPr>
                <w:b/>
                <w:color w:val="FFFFFF" w:themeColor="background1"/>
                <w:sz w:val="20"/>
                <w:lang w:eastAsia="en-GB"/>
              </w:rPr>
              <w:t>Physical</w:t>
            </w:r>
            <w:r w:rsidR="003A4234">
              <w:rPr>
                <w:b/>
                <w:color w:val="FFFFFF" w:themeColor="background1"/>
                <w:sz w:val="20"/>
                <w:lang w:eastAsia="en-GB"/>
              </w:rPr>
              <w:t>/chemical</w:t>
            </w:r>
            <w:r w:rsidRPr="00A7119C">
              <w:rPr>
                <w:b/>
                <w:color w:val="FFFFFF" w:themeColor="background1"/>
                <w:sz w:val="20"/>
                <w:lang w:eastAsia="en-GB"/>
              </w:rPr>
              <w:t xml:space="preserve"> properties of </w:t>
            </w:r>
            <w:r w:rsidR="00A7119C" w:rsidRPr="00A7119C">
              <w:rPr>
                <w:b/>
                <w:color w:val="FFFFFF" w:themeColor="background1"/>
                <w:sz w:val="20"/>
                <w:lang w:eastAsia="en-GB"/>
              </w:rPr>
              <w:t>commercial enzyme preparation</w:t>
            </w:r>
          </w:p>
        </w:tc>
      </w:tr>
      <w:tr w:rsidR="006E3847" w:rsidRPr="00426F2C" w14:paraId="6C21DBCE" w14:textId="77777777" w:rsidTr="006E3847">
        <w:trPr>
          <w:trHeight w:val="465"/>
        </w:trPr>
        <w:tc>
          <w:tcPr>
            <w:tcW w:w="2943" w:type="dxa"/>
            <w:shd w:val="clear" w:color="auto" w:fill="ECECEC"/>
            <w:vAlign w:val="center"/>
          </w:tcPr>
          <w:p w14:paraId="72323A72" w14:textId="3DD6FDE2"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E</w:t>
            </w:r>
            <w:r w:rsidRPr="00A7119C">
              <w:rPr>
                <w:rFonts w:cs="Arial"/>
                <w:color w:val="000000"/>
                <w:sz w:val="20"/>
                <w:szCs w:val="20"/>
              </w:rPr>
              <w:t>nzyme activity</w:t>
            </w:r>
          </w:p>
        </w:tc>
        <w:tc>
          <w:tcPr>
            <w:tcW w:w="4395" w:type="dxa"/>
            <w:shd w:val="clear" w:color="auto" w:fill="ECECEC"/>
            <w:vAlign w:val="center"/>
          </w:tcPr>
          <w:p w14:paraId="0BF90AD9" w14:textId="6ADCF78F" w:rsidR="006E3847" w:rsidRDefault="006B08A1" w:rsidP="000268A9">
            <w:pPr>
              <w:autoSpaceDE w:val="0"/>
              <w:autoSpaceDN w:val="0"/>
              <w:adjustRightInd w:val="0"/>
              <w:rPr>
                <w:rFonts w:cs="Arial"/>
                <w:color w:val="000000"/>
                <w:sz w:val="20"/>
                <w:szCs w:val="20"/>
              </w:rPr>
            </w:pPr>
            <w:r w:rsidRPr="006B08A1">
              <w:rPr>
                <w:rFonts w:cs="Arial"/>
                <w:color w:val="000000"/>
                <w:sz w:val="20"/>
                <w:szCs w:val="20"/>
              </w:rPr>
              <w:t>2</w:t>
            </w:r>
            <w:r>
              <w:rPr>
                <w:rFonts w:cs="Arial"/>
                <w:color w:val="000000"/>
                <w:sz w:val="20"/>
                <w:szCs w:val="20"/>
              </w:rPr>
              <w:t xml:space="preserve">500 </w:t>
            </w:r>
            <w:r w:rsidR="000268A9">
              <w:rPr>
                <w:rFonts w:cs="Arial"/>
                <w:color w:val="000000"/>
                <w:sz w:val="20"/>
                <w:szCs w:val="20"/>
              </w:rPr>
              <w:t xml:space="preserve">– </w:t>
            </w:r>
            <w:r>
              <w:rPr>
                <w:rFonts w:cs="Arial"/>
                <w:color w:val="000000"/>
                <w:sz w:val="20"/>
                <w:szCs w:val="20"/>
              </w:rPr>
              <w:t>3</w:t>
            </w:r>
            <w:r w:rsidRPr="006B08A1">
              <w:rPr>
                <w:rFonts w:cs="Arial"/>
                <w:color w:val="000000"/>
                <w:sz w:val="20"/>
                <w:szCs w:val="20"/>
              </w:rPr>
              <w:t>000 IU/ml</w:t>
            </w:r>
            <w:r w:rsidR="000268A9">
              <w:rPr>
                <w:rStyle w:val="FootnoteReference"/>
                <w:rFonts w:cs="Arial"/>
                <w:color w:val="000000"/>
                <w:sz w:val="20"/>
                <w:szCs w:val="20"/>
              </w:rPr>
              <w:footnoteReference w:id="5"/>
            </w:r>
          </w:p>
        </w:tc>
      </w:tr>
      <w:tr w:rsidR="006E3847" w:rsidRPr="00426F2C" w14:paraId="79B10041" w14:textId="77777777" w:rsidTr="006E3847">
        <w:trPr>
          <w:trHeight w:val="465"/>
        </w:trPr>
        <w:tc>
          <w:tcPr>
            <w:tcW w:w="2943" w:type="dxa"/>
            <w:shd w:val="clear" w:color="auto" w:fill="auto"/>
            <w:vAlign w:val="center"/>
          </w:tcPr>
          <w:p w14:paraId="69E789B9" w14:textId="77777777" w:rsidR="006E3847" w:rsidRPr="00A7119C" w:rsidRDefault="006E3847" w:rsidP="006E3847">
            <w:pPr>
              <w:autoSpaceDE w:val="0"/>
              <w:autoSpaceDN w:val="0"/>
              <w:adjustRightInd w:val="0"/>
              <w:rPr>
                <w:rFonts w:cs="Arial"/>
                <w:color w:val="000000"/>
                <w:sz w:val="20"/>
                <w:szCs w:val="20"/>
              </w:rPr>
            </w:pPr>
            <w:r w:rsidRPr="00A7119C">
              <w:rPr>
                <w:rFonts w:cs="Arial"/>
                <w:color w:val="000000"/>
                <w:sz w:val="20"/>
                <w:szCs w:val="20"/>
              </w:rPr>
              <w:t>Appearance</w:t>
            </w:r>
          </w:p>
        </w:tc>
        <w:tc>
          <w:tcPr>
            <w:tcW w:w="4395" w:type="dxa"/>
            <w:shd w:val="clear" w:color="auto" w:fill="auto"/>
            <w:vAlign w:val="center"/>
          </w:tcPr>
          <w:p w14:paraId="522F3FD7" w14:textId="394CF613" w:rsidR="006E3847" w:rsidRPr="00A7119C" w:rsidRDefault="006B08A1" w:rsidP="006E3847">
            <w:pPr>
              <w:autoSpaceDE w:val="0"/>
              <w:autoSpaceDN w:val="0"/>
              <w:adjustRightInd w:val="0"/>
              <w:rPr>
                <w:rFonts w:cs="Arial"/>
                <w:color w:val="000000"/>
                <w:sz w:val="20"/>
                <w:szCs w:val="20"/>
              </w:rPr>
            </w:pPr>
            <w:r>
              <w:rPr>
                <w:rFonts w:cs="Arial"/>
                <w:color w:val="000000"/>
                <w:sz w:val="20"/>
                <w:szCs w:val="20"/>
              </w:rPr>
              <w:t>Brown liquid</w:t>
            </w:r>
          </w:p>
        </w:tc>
      </w:tr>
      <w:tr w:rsidR="006E3847" w:rsidRPr="00426F2C" w14:paraId="4ABF18E0" w14:textId="77777777" w:rsidTr="006E3847">
        <w:trPr>
          <w:trHeight w:val="465"/>
        </w:trPr>
        <w:tc>
          <w:tcPr>
            <w:tcW w:w="2943" w:type="dxa"/>
            <w:shd w:val="clear" w:color="auto" w:fill="ECECEC"/>
            <w:vAlign w:val="center"/>
          </w:tcPr>
          <w:p w14:paraId="1663C610" w14:textId="2693DC99"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Temperature </w:t>
            </w:r>
            <w:r>
              <w:rPr>
                <w:rFonts w:cs="Arial"/>
                <w:color w:val="000000"/>
                <w:sz w:val="20"/>
                <w:szCs w:val="20"/>
              </w:rPr>
              <w:t>optimum</w:t>
            </w:r>
          </w:p>
        </w:tc>
        <w:tc>
          <w:tcPr>
            <w:tcW w:w="4395" w:type="dxa"/>
            <w:shd w:val="clear" w:color="auto" w:fill="ECECEC"/>
            <w:vAlign w:val="center"/>
          </w:tcPr>
          <w:p w14:paraId="237B42D1" w14:textId="5CF5CA36" w:rsidR="006E3847" w:rsidRPr="003A4234" w:rsidRDefault="000268A9" w:rsidP="000268A9">
            <w:pPr>
              <w:autoSpaceDE w:val="0"/>
              <w:autoSpaceDN w:val="0"/>
              <w:adjustRightInd w:val="0"/>
              <w:rPr>
                <w:rFonts w:cs="Arial"/>
                <w:color w:val="000000"/>
                <w:sz w:val="20"/>
                <w:szCs w:val="20"/>
              </w:rPr>
            </w:pPr>
            <w:r>
              <w:rPr>
                <w:rFonts w:cs="Arial"/>
                <w:color w:val="000000"/>
                <w:sz w:val="20"/>
                <w:szCs w:val="20"/>
              </w:rPr>
              <w:t xml:space="preserve">60 – </w:t>
            </w:r>
            <w:r w:rsidR="00E5619C">
              <w:rPr>
                <w:rFonts w:cs="Arial"/>
                <w:color w:val="000000"/>
                <w:sz w:val="20"/>
                <w:szCs w:val="20"/>
              </w:rPr>
              <w:t>70°C</w:t>
            </w:r>
          </w:p>
        </w:tc>
      </w:tr>
      <w:tr w:rsidR="006E3847" w:rsidRPr="00426F2C" w14:paraId="6DA3F513" w14:textId="77777777" w:rsidTr="001E6A7B">
        <w:trPr>
          <w:trHeight w:val="465"/>
        </w:trPr>
        <w:tc>
          <w:tcPr>
            <w:tcW w:w="2943" w:type="dxa"/>
            <w:shd w:val="clear" w:color="auto" w:fill="FFFFFF" w:themeFill="background1"/>
            <w:vAlign w:val="center"/>
          </w:tcPr>
          <w:p w14:paraId="1B0AD21F" w14:textId="1F10BF92" w:rsidR="006E3847" w:rsidRDefault="006E3847" w:rsidP="006E3847">
            <w:pPr>
              <w:autoSpaceDE w:val="0"/>
              <w:autoSpaceDN w:val="0"/>
              <w:adjustRightInd w:val="0"/>
              <w:rPr>
                <w:rFonts w:cs="Arial"/>
                <w:color w:val="000000"/>
                <w:sz w:val="20"/>
                <w:szCs w:val="20"/>
              </w:rPr>
            </w:pPr>
            <w:r>
              <w:rPr>
                <w:rFonts w:cs="Arial"/>
                <w:color w:val="000000"/>
                <w:sz w:val="20"/>
                <w:szCs w:val="20"/>
              </w:rPr>
              <w:t>Thermal stability</w:t>
            </w:r>
          </w:p>
        </w:tc>
        <w:tc>
          <w:tcPr>
            <w:tcW w:w="4395" w:type="dxa"/>
            <w:shd w:val="clear" w:color="auto" w:fill="FFFFFF" w:themeFill="background1"/>
            <w:vAlign w:val="center"/>
          </w:tcPr>
          <w:p w14:paraId="092BBAA5" w14:textId="2DBF43FD" w:rsidR="006E3847" w:rsidRDefault="00E5619C" w:rsidP="006E3847">
            <w:pPr>
              <w:autoSpaceDE w:val="0"/>
              <w:autoSpaceDN w:val="0"/>
              <w:adjustRightInd w:val="0"/>
              <w:rPr>
                <w:rFonts w:cs="Arial"/>
                <w:color w:val="000000"/>
                <w:sz w:val="20"/>
                <w:szCs w:val="20"/>
              </w:rPr>
            </w:pPr>
            <w:r>
              <w:rPr>
                <w:rFonts w:cs="Arial"/>
                <w:color w:val="000000"/>
                <w:sz w:val="20"/>
                <w:szCs w:val="20"/>
              </w:rPr>
              <w:t>Not thermally stable above 70°C</w:t>
            </w:r>
          </w:p>
        </w:tc>
      </w:tr>
      <w:tr w:rsidR="006E3847" w:rsidRPr="00426F2C" w14:paraId="15034C40" w14:textId="77777777" w:rsidTr="00063D81">
        <w:trPr>
          <w:trHeight w:val="465"/>
        </w:trPr>
        <w:tc>
          <w:tcPr>
            <w:tcW w:w="2943" w:type="dxa"/>
            <w:shd w:val="clear" w:color="auto" w:fill="ECECEC"/>
            <w:vAlign w:val="center"/>
          </w:tcPr>
          <w:p w14:paraId="202A381F" w14:textId="628B7454" w:rsidR="006E3847" w:rsidRPr="00E5619C" w:rsidRDefault="006E3847" w:rsidP="006E3847">
            <w:pPr>
              <w:autoSpaceDE w:val="0"/>
              <w:autoSpaceDN w:val="0"/>
              <w:adjustRightInd w:val="0"/>
              <w:rPr>
                <w:rFonts w:cs="Arial"/>
                <w:color w:val="000000"/>
                <w:sz w:val="20"/>
                <w:szCs w:val="20"/>
              </w:rPr>
            </w:pPr>
            <w:r w:rsidRPr="00E5619C">
              <w:rPr>
                <w:rFonts w:cs="Arial"/>
                <w:color w:val="000000"/>
                <w:sz w:val="20"/>
                <w:szCs w:val="20"/>
              </w:rPr>
              <w:t>pH optimum</w:t>
            </w:r>
          </w:p>
        </w:tc>
        <w:tc>
          <w:tcPr>
            <w:tcW w:w="4395" w:type="dxa"/>
            <w:shd w:val="clear" w:color="auto" w:fill="ECECEC"/>
            <w:vAlign w:val="center"/>
          </w:tcPr>
          <w:p w14:paraId="3AB0358E" w14:textId="29E71D53" w:rsidR="006E3847" w:rsidRPr="00E5619C" w:rsidRDefault="00E5619C" w:rsidP="006E3847">
            <w:pPr>
              <w:autoSpaceDE w:val="0"/>
              <w:autoSpaceDN w:val="0"/>
              <w:adjustRightInd w:val="0"/>
              <w:rPr>
                <w:rFonts w:cs="Arial"/>
                <w:color w:val="000000"/>
                <w:sz w:val="20"/>
                <w:szCs w:val="20"/>
              </w:rPr>
            </w:pPr>
            <w:r w:rsidRPr="00E5619C">
              <w:rPr>
                <w:rFonts w:cs="Arial"/>
                <w:color w:val="000000"/>
                <w:sz w:val="20"/>
                <w:szCs w:val="20"/>
              </w:rPr>
              <w:t xml:space="preserve">4 </w:t>
            </w:r>
            <w:r w:rsidR="001A6F37">
              <w:rPr>
                <w:rFonts w:cs="Arial"/>
                <w:color w:val="000000"/>
                <w:sz w:val="20"/>
                <w:szCs w:val="20"/>
              </w:rPr>
              <w:t>–</w:t>
            </w:r>
            <w:r w:rsidRPr="00E5619C">
              <w:rPr>
                <w:rFonts w:cs="Arial"/>
                <w:color w:val="000000"/>
                <w:sz w:val="20"/>
                <w:szCs w:val="20"/>
              </w:rPr>
              <w:t xml:space="preserve"> 6</w:t>
            </w:r>
          </w:p>
        </w:tc>
      </w:tr>
      <w:tr w:rsidR="006E3847" w:rsidRPr="00426F2C" w14:paraId="2082DFE7" w14:textId="77777777" w:rsidTr="00063D81">
        <w:trPr>
          <w:trHeight w:val="465"/>
        </w:trPr>
        <w:tc>
          <w:tcPr>
            <w:tcW w:w="2943" w:type="dxa"/>
            <w:tcBorders>
              <w:bottom w:val="single" w:sz="4" w:space="0" w:color="ECECEC"/>
            </w:tcBorders>
            <w:shd w:val="clear" w:color="auto" w:fill="auto"/>
            <w:vAlign w:val="center"/>
          </w:tcPr>
          <w:p w14:paraId="76A6CF17" w14:textId="0DFB9A98" w:rsidR="006E3847" w:rsidRDefault="006E3847" w:rsidP="006E3847">
            <w:pPr>
              <w:autoSpaceDE w:val="0"/>
              <w:autoSpaceDN w:val="0"/>
              <w:adjustRightInd w:val="0"/>
              <w:rPr>
                <w:rFonts w:cs="Arial"/>
                <w:color w:val="000000"/>
                <w:sz w:val="20"/>
                <w:szCs w:val="20"/>
              </w:rPr>
            </w:pPr>
            <w:r>
              <w:rPr>
                <w:rFonts w:cs="Arial"/>
                <w:color w:val="000000"/>
                <w:sz w:val="20"/>
                <w:szCs w:val="20"/>
              </w:rPr>
              <w:t>Storage stability</w:t>
            </w:r>
          </w:p>
        </w:tc>
        <w:tc>
          <w:tcPr>
            <w:tcW w:w="4395" w:type="dxa"/>
            <w:tcBorders>
              <w:bottom w:val="single" w:sz="4" w:space="0" w:color="ECECEC"/>
            </w:tcBorders>
            <w:shd w:val="clear" w:color="auto" w:fill="auto"/>
            <w:vAlign w:val="center"/>
          </w:tcPr>
          <w:p w14:paraId="78639CCA" w14:textId="7383F6BE" w:rsidR="006E3847" w:rsidRDefault="00E5619C" w:rsidP="00263497">
            <w:pPr>
              <w:autoSpaceDE w:val="0"/>
              <w:autoSpaceDN w:val="0"/>
              <w:adjustRightInd w:val="0"/>
              <w:rPr>
                <w:rFonts w:cs="Arial"/>
                <w:color w:val="000000"/>
                <w:sz w:val="20"/>
                <w:szCs w:val="20"/>
              </w:rPr>
            </w:pPr>
            <w:r>
              <w:rPr>
                <w:rFonts w:cs="Arial"/>
                <w:color w:val="000000"/>
                <w:sz w:val="20"/>
                <w:szCs w:val="20"/>
              </w:rPr>
              <w:t xml:space="preserve">&gt;12 months between </w:t>
            </w:r>
            <w:r w:rsidRPr="00E5619C">
              <w:rPr>
                <w:rFonts w:cs="Arial"/>
                <w:color w:val="000000"/>
                <w:sz w:val="20"/>
                <w:szCs w:val="20"/>
              </w:rPr>
              <w:t>0°C and 7°C</w:t>
            </w:r>
          </w:p>
        </w:tc>
      </w:tr>
    </w:tbl>
    <w:p w14:paraId="36D87F77" w14:textId="77777777" w:rsidR="001E6A7B" w:rsidRPr="00426F2C" w:rsidRDefault="001E6A7B" w:rsidP="001E6A7B">
      <w:pPr>
        <w:rPr>
          <w:highlight w:val="yellow"/>
        </w:rPr>
      </w:pPr>
    </w:p>
    <w:p w14:paraId="0731F937" w14:textId="3A27016D" w:rsidR="00EE5D7A" w:rsidRPr="00E82061" w:rsidRDefault="001E6A7B" w:rsidP="001E6A7B">
      <w:pPr>
        <w:tabs>
          <w:tab w:val="left" w:pos="1134"/>
        </w:tabs>
      </w:pPr>
      <w:r w:rsidRPr="00E82061">
        <w:t xml:space="preserve">Use of commercial enzyme preparations </w:t>
      </w:r>
      <w:r w:rsidR="00821E30">
        <w:t xml:space="preserve">should follow </w:t>
      </w:r>
      <w:r w:rsidR="008958EE" w:rsidRPr="00E82061">
        <w:t>Good Manufacturing Practice (GMP)</w:t>
      </w:r>
      <w:r w:rsidRPr="00E82061">
        <w:t xml:space="preserve">, where use is at a level that is not higher than </w:t>
      </w:r>
      <w:r w:rsidR="00821E30">
        <w:t xml:space="preserve">that </w:t>
      </w:r>
      <w:r w:rsidRPr="00E82061">
        <w:t>necessary to achieve</w:t>
      </w:r>
      <w:r w:rsidR="00867E72" w:rsidRPr="00E82061">
        <w:t xml:space="preserve"> the desired enzymatic reaction</w:t>
      </w:r>
      <w:r w:rsidRPr="00E82061">
        <w:t xml:space="preserve">. </w:t>
      </w:r>
      <w:r w:rsidR="00E313CB">
        <w:t xml:space="preserve">The technical data sheet </w:t>
      </w:r>
      <w:r w:rsidR="0028325F">
        <w:t>provided</w:t>
      </w:r>
      <w:r w:rsidR="00E313CB">
        <w:t xml:space="preserve"> by the applicant advis</w:t>
      </w:r>
      <w:r w:rsidR="004676D2">
        <w:t xml:space="preserve">es that </w:t>
      </w:r>
      <w:r w:rsidR="00E313CB">
        <w:t xml:space="preserve">the optimum </w:t>
      </w:r>
      <w:r w:rsidR="00077487">
        <w:t>use level</w:t>
      </w:r>
      <w:r w:rsidR="00E313CB">
        <w:t xml:space="preserve"> should be assessed by</w:t>
      </w:r>
      <w:r w:rsidR="00E82061">
        <w:t xml:space="preserve"> individual m</w:t>
      </w:r>
      <w:r w:rsidRPr="00E82061">
        <w:t>anufacturers</w:t>
      </w:r>
      <w:r w:rsidR="00E313CB">
        <w:t xml:space="preserve"> through trials </w:t>
      </w:r>
      <w:r w:rsidR="00821E30">
        <w:t xml:space="preserve">that reflect their </w:t>
      </w:r>
      <w:r w:rsidR="00E313CB">
        <w:t>process</w:t>
      </w:r>
      <w:r w:rsidR="00821E30">
        <w:t>es</w:t>
      </w:r>
      <w:r w:rsidR="00E313CB">
        <w:t xml:space="preserve"> and </w:t>
      </w:r>
      <w:r w:rsidR="00F27E21">
        <w:t xml:space="preserve">the required </w:t>
      </w:r>
      <w:r w:rsidR="00E313CB">
        <w:t>degree of hydrolysis</w:t>
      </w:r>
      <w:r w:rsidR="00F27E21">
        <w:t xml:space="preserve"> of inulin</w:t>
      </w:r>
      <w:r w:rsidR="00E313CB">
        <w:t>.</w:t>
      </w:r>
      <w:r w:rsidRPr="00E82061">
        <w:t xml:space="preserve"> </w:t>
      </w:r>
    </w:p>
    <w:p w14:paraId="35940317" w14:textId="0F72B2B4" w:rsidR="00240762" w:rsidRDefault="00240762" w:rsidP="001E6A7B">
      <w:pPr>
        <w:rPr>
          <w:highlight w:val="yellow"/>
        </w:rPr>
      </w:pPr>
    </w:p>
    <w:p w14:paraId="42E9B8D2" w14:textId="7FF9121B" w:rsidR="001E6A7B" w:rsidRPr="00504BE7" w:rsidRDefault="00E313CB" w:rsidP="001E6A7B">
      <w:r>
        <w:t xml:space="preserve">Endo-inulinase </w:t>
      </w:r>
      <w:r w:rsidR="00AF5480">
        <w:t>is</w:t>
      </w:r>
      <w:r w:rsidR="00240762" w:rsidRPr="00504BE7">
        <w:t xml:space="preserve"> denatured </w:t>
      </w:r>
      <w:r w:rsidR="00AF5480">
        <w:t>at &gt;</w:t>
      </w:r>
      <w:r w:rsidR="00AF5480" w:rsidRPr="00F83E3D">
        <w:t>80°C</w:t>
      </w:r>
      <w:r w:rsidR="00AF5480">
        <w:t xml:space="preserve"> </w:t>
      </w:r>
      <w:r w:rsidR="00263497">
        <w:t>after performing its technical function</w:t>
      </w:r>
      <w:r w:rsidR="00F83E3D" w:rsidRPr="00F83E3D">
        <w:t>.</w:t>
      </w:r>
      <w:r w:rsidR="00F83E3D">
        <w:t xml:space="preserve"> </w:t>
      </w:r>
      <w:r w:rsidR="00263497">
        <w:t xml:space="preserve"> </w:t>
      </w:r>
      <w:r w:rsidR="00504BE7" w:rsidRPr="00504BE7">
        <w:t>A</w:t>
      </w:r>
      <w:r w:rsidR="001E6A7B" w:rsidRPr="00504BE7">
        <w:t xml:space="preserve">s such, </w:t>
      </w:r>
      <w:r w:rsidR="00504BE7">
        <w:t>the</w:t>
      </w:r>
      <w:r w:rsidR="00F83E3D">
        <w:t xml:space="preserve">re is no active </w:t>
      </w:r>
      <w:r w:rsidR="00504BE7">
        <w:t xml:space="preserve">enzyme </w:t>
      </w:r>
      <w:r w:rsidR="00F83E3D">
        <w:t xml:space="preserve">remaining in the </w:t>
      </w:r>
      <w:r w:rsidR="00263497">
        <w:t>FOS</w:t>
      </w:r>
      <w:r w:rsidR="001E6A7B" w:rsidRPr="00504BE7">
        <w:t xml:space="preserve"> or the foods to which </w:t>
      </w:r>
      <w:r w:rsidR="00263497">
        <w:t xml:space="preserve">FOS is </w:t>
      </w:r>
      <w:r w:rsidR="001E6A7B" w:rsidRPr="00504BE7">
        <w:t>added.</w:t>
      </w:r>
      <w:r w:rsidR="00AF5480">
        <w:t xml:space="preserve"> </w:t>
      </w:r>
    </w:p>
    <w:p w14:paraId="1B6435E5" w14:textId="77777777" w:rsidR="001E6A7B" w:rsidRPr="00504BE7" w:rsidRDefault="001E6A7B" w:rsidP="001E6A7B">
      <w:pPr>
        <w:pStyle w:val="Heading2"/>
      </w:pPr>
      <w:bookmarkStart w:id="28" w:name="_Toc536543991"/>
      <w:bookmarkStart w:id="29" w:name="_Toc536607126"/>
      <w:bookmarkStart w:id="30" w:name="_Toc16848707"/>
      <w:r w:rsidRPr="00504BE7">
        <w:lastRenderedPageBreak/>
        <w:t>2.2</w:t>
      </w:r>
      <w:r w:rsidRPr="00504BE7">
        <w:tab/>
        <w:t>Manufacturing process</w:t>
      </w:r>
      <w:bookmarkEnd w:id="28"/>
      <w:bookmarkEnd w:id="29"/>
      <w:bookmarkEnd w:id="30"/>
    </w:p>
    <w:p w14:paraId="6E74515A" w14:textId="2E1A78A3" w:rsidR="001E6A7B" w:rsidRPr="00504BE7" w:rsidRDefault="0035149D" w:rsidP="003D1FD4">
      <w:pPr>
        <w:pStyle w:val="Heading3"/>
      </w:pPr>
      <w:bookmarkStart w:id="31" w:name="_Toc536543992"/>
      <w:bookmarkStart w:id="32" w:name="_Toc536607127"/>
      <w:bookmarkStart w:id="33" w:name="_Toc16848708"/>
      <w:r w:rsidRPr="00504BE7">
        <w:t>2.2.1</w:t>
      </w:r>
      <w:r w:rsidRPr="00504BE7">
        <w:tab/>
        <w:t>P</w:t>
      </w:r>
      <w:r w:rsidR="001E6A7B" w:rsidRPr="00504BE7">
        <w:t>roduction of the enzyme</w:t>
      </w:r>
      <w:bookmarkEnd w:id="31"/>
      <w:bookmarkEnd w:id="32"/>
      <w:bookmarkEnd w:id="33"/>
    </w:p>
    <w:p w14:paraId="02AADCF8" w14:textId="591BEFAB" w:rsidR="00503A80" w:rsidRDefault="001E6A7B" w:rsidP="00933156">
      <w:pPr>
        <w:rPr>
          <w:lang w:eastAsia="en-AU"/>
        </w:rPr>
      </w:pPr>
      <w:r w:rsidRPr="008A2862">
        <w:rPr>
          <w:lang w:eastAsia="en-AU"/>
        </w:rPr>
        <w:t xml:space="preserve">The enzyme is produced </w:t>
      </w:r>
      <w:r w:rsidR="00933156">
        <w:rPr>
          <w:lang w:eastAsia="en-AU"/>
        </w:rPr>
        <w:t>using submerged fed-batch fermentation</w:t>
      </w:r>
      <w:r w:rsidR="00503A80">
        <w:rPr>
          <w:lang w:eastAsia="en-AU"/>
        </w:rPr>
        <w:t>,</w:t>
      </w:r>
      <w:r w:rsidR="00C23E19">
        <w:rPr>
          <w:lang w:eastAsia="en-AU"/>
        </w:rPr>
        <w:t xml:space="preserve"> which is the commonly used and well understood production method to produce food enzymes</w:t>
      </w:r>
      <w:r w:rsidR="00933156">
        <w:rPr>
          <w:lang w:eastAsia="en-AU"/>
        </w:rPr>
        <w:t xml:space="preserve">. </w:t>
      </w:r>
      <w:r w:rsidR="00503A80">
        <w:rPr>
          <w:lang w:eastAsia="en-AU"/>
        </w:rPr>
        <w:t>The fermentation process is completely closed to prevent contaminat</w:t>
      </w:r>
      <w:r w:rsidR="00542449">
        <w:rPr>
          <w:lang w:eastAsia="en-AU"/>
        </w:rPr>
        <w:t xml:space="preserve">ion from any foreign </w:t>
      </w:r>
      <w:r w:rsidR="00503A80">
        <w:rPr>
          <w:lang w:eastAsia="en-AU"/>
        </w:rPr>
        <w:t>microorganisms and other</w:t>
      </w:r>
      <w:r w:rsidR="00542449">
        <w:rPr>
          <w:lang w:eastAsia="en-AU"/>
        </w:rPr>
        <w:t xml:space="preserve"> </w:t>
      </w:r>
      <w:r w:rsidR="00503A80">
        <w:rPr>
          <w:lang w:eastAsia="en-AU"/>
        </w:rPr>
        <w:t>contamina</w:t>
      </w:r>
      <w:r w:rsidR="00542449">
        <w:rPr>
          <w:lang w:eastAsia="en-AU"/>
        </w:rPr>
        <w:t>n</w:t>
      </w:r>
      <w:r w:rsidR="00503A80">
        <w:rPr>
          <w:lang w:eastAsia="en-AU"/>
        </w:rPr>
        <w:t>ts fr</w:t>
      </w:r>
      <w:r w:rsidR="00542449">
        <w:rPr>
          <w:lang w:eastAsia="en-AU"/>
        </w:rPr>
        <w:t>o</w:t>
      </w:r>
      <w:r w:rsidR="00503A80">
        <w:rPr>
          <w:lang w:eastAsia="en-AU"/>
        </w:rPr>
        <w:t>m the outside.</w:t>
      </w:r>
      <w:r w:rsidR="00542449">
        <w:rPr>
          <w:lang w:eastAsia="en-AU"/>
        </w:rPr>
        <w:t xml:space="preserve"> </w:t>
      </w:r>
      <w:r w:rsidR="00503A80">
        <w:rPr>
          <w:lang w:eastAsia="en-AU"/>
        </w:rPr>
        <w:t>Fermenta</w:t>
      </w:r>
      <w:r w:rsidR="00542449">
        <w:rPr>
          <w:lang w:eastAsia="en-AU"/>
        </w:rPr>
        <w:t xml:space="preserve">tion is ceased when </w:t>
      </w:r>
      <w:r w:rsidR="00503A80">
        <w:rPr>
          <w:lang w:eastAsia="en-AU"/>
        </w:rPr>
        <w:t>the optimal level of biomass and en</w:t>
      </w:r>
      <w:r w:rsidR="00542449">
        <w:rPr>
          <w:lang w:eastAsia="en-AU"/>
        </w:rPr>
        <w:t>z</w:t>
      </w:r>
      <w:r w:rsidR="00503A80">
        <w:rPr>
          <w:lang w:eastAsia="en-AU"/>
        </w:rPr>
        <w:t xml:space="preserve">ymatic activity is obtained. </w:t>
      </w:r>
    </w:p>
    <w:p w14:paraId="47D767D6" w14:textId="77777777" w:rsidR="00503A80" w:rsidRDefault="00503A80" w:rsidP="00933156">
      <w:pPr>
        <w:rPr>
          <w:lang w:eastAsia="en-AU"/>
        </w:rPr>
      </w:pPr>
    </w:p>
    <w:p w14:paraId="00FCE99C" w14:textId="3AB65EF3" w:rsidR="00632445" w:rsidRPr="00632445" w:rsidRDefault="00503A80" w:rsidP="00632445">
      <w:pPr>
        <w:rPr>
          <w:lang w:eastAsia="en-AU"/>
        </w:rPr>
      </w:pPr>
      <w:r>
        <w:rPr>
          <w:lang w:eastAsia="en-AU"/>
        </w:rPr>
        <w:t xml:space="preserve">The </w:t>
      </w:r>
      <w:r w:rsidR="00542449">
        <w:rPr>
          <w:lang w:eastAsia="en-AU"/>
        </w:rPr>
        <w:t xml:space="preserve">recovery process involves separating the biomass from the enzyme-containing culture medium by a series of filtration steps, resulting in an enzyme-containing liquid that is concentrated and free from any microorganisms or other impurities. </w:t>
      </w:r>
      <w:r w:rsidR="00632445" w:rsidRPr="00632445">
        <w:rPr>
          <w:lang w:eastAsia="en-AU"/>
        </w:rPr>
        <w:t xml:space="preserve">The </w:t>
      </w:r>
      <w:r w:rsidR="00632445">
        <w:rPr>
          <w:lang w:eastAsia="en-AU"/>
        </w:rPr>
        <w:t xml:space="preserve">applicant has provided information to demonstrate that the </w:t>
      </w:r>
      <w:r w:rsidR="00632445" w:rsidRPr="00632445">
        <w:rPr>
          <w:lang w:eastAsia="en-AU"/>
        </w:rPr>
        <w:t>manufacture of the enzyme follows</w:t>
      </w:r>
      <w:r w:rsidR="00632445">
        <w:rPr>
          <w:lang w:eastAsia="en-AU"/>
        </w:rPr>
        <w:t xml:space="preserve"> current </w:t>
      </w:r>
      <w:r w:rsidR="00632445" w:rsidRPr="00632445">
        <w:rPr>
          <w:lang w:eastAsia="en-AU"/>
        </w:rPr>
        <w:t xml:space="preserve">Good Manufacturing Practice </w:t>
      </w:r>
      <w:r w:rsidR="00632445">
        <w:rPr>
          <w:lang w:eastAsia="en-AU"/>
        </w:rPr>
        <w:t>(c</w:t>
      </w:r>
      <w:r w:rsidR="00632445" w:rsidRPr="00632445">
        <w:rPr>
          <w:lang w:eastAsia="en-AU"/>
        </w:rPr>
        <w:t>GMP</w:t>
      </w:r>
      <w:r w:rsidR="00632445">
        <w:rPr>
          <w:lang w:eastAsia="en-AU"/>
        </w:rPr>
        <w:t>)</w:t>
      </w:r>
      <w:r w:rsidR="00632445" w:rsidRPr="00632445">
        <w:rPr>
          <w:lang w:eastAsia="en-AU"/>
        </w:rPr>
        <w:t xml:space="preserve"> and the principles of HACCP.</w:t>
      </w:r>
    </w:p>
    <w:p w14:paraId="73B9790C" w14:textId="77777777" w:rsidR="00632445" w:rsidRDefault="00632445" w:rsidP="002E0950">
      <w:pPr>
        <w:rPr>
          <w:lang w:eastAsia="en-AU"/>
        </w:rPr>
      </w:pPr>
    </w:p>
    <w:p w14:paraId="17C4C6A6" w14:textId="17E628D7" w:rsidR="00892E57" w:rsidRDefault="00542449" w:rsidP="002E0950">
      <w:r>
        <w:rPr>
          <w:lang w:eastAsia="en-AU"/>
        </w:rPr>
        <w:t xml:space="preserve">The final enzyme product is sold under the commercial name Oligofruct’Ase 3000. </w:t>
      </w:r>
      <w:r w:rsidR="002E0950" w:rsidRPr="002E0950">
        <w:t>FSANZ has assessed the formulation ingredients and can confirm that they ar</w:t>
      </w:r>
      <w:r w:rsidR="008B231D">
        <w:t>e compatible with usage in food</w:t>
      </w:r>
      <w:r w:rsidR="002E0950" w:rsidRPr="002E0950">
        <w:t xml:space="preserve">. </w:t>
      </w:r>
      <w:r w:rsidR="00F27E21">
        <w:rPr>
          <w:lang w:eastAsia="en-AU"/>
        </w:rPr>
        <w:t>T</w:t>
      </w:r>
      <w:r w:rsidR="00F27E21" w:rsidRPr="002E0950">
        <w:rPr>
          <w:lang w:eastAsia="en-AU"/>
        </w:rPr>
        <w:t xml:space="preserve">he main steps of the manufacturing process are shown in Figure 2 </w:t>
      </w:r>
      <w:r w:rsidR="00F27E21">
        <w:rPr>
          <w:lang w:eastAsia="en-AU"/>
        </w:rPr>
        <w:t xml:space="preserve">below </w:t>
      </w:r>
      <w:r w:rsidR="00F27E21" w:rsidRPr="002E0950">
        <w:rPr>
          <w:lang w:eastAsia="en-AU"/>
        </w:rPr>
        <w:t>taken from the application</w:t>
      </w:r>
      <w:r w:rsidR="00F27E21">
        <w:rPr>
          <w:lang w:eastAsia="en-AU"/>
        </w:rPr>
        <w:t>.</w:t>
      </w:r>
    </w:p>
    <w:p w14:paraId="37B52074" w14:textId="3CE1AEFE" w:rsidR="004C0973" w:rsidRPr="002E0950" w:rsidRDefault="004C0973" w:rsidP="004C0973"/>
    <w:p w14:paraId="512B70AE" w14:textId="388A9CCA" w:rsidR="008A2862" w:rsidRPr="008A2862" w:rsidRDefault="002E0950" w:rsidP="001E6A7B">
      <w:pPr>
        <w:rPr>
          <w:lang w:eastAsia="en-AU"/>
        </w:rPr>
      </w:pPr>
      <w:r>
        <w:rPr>
          <w:noProof/>
          <w:lang w:eastAsia="en-GB" w:bidi="ar-SA"/>
        </w:rPr>
        <w:drawing>
          <wp:inline distT="0" distB="0" distL="0" distR="0" wp14:anchorId="1238F114" wp14:editId="2E4D2AC9">
            <wp:extent cx="5632685" cy="3554083"/>
            <wp:effectExtent l="19050" t="19050" r="2540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2224" cy="3610580"/>
                    </a:xfrm>
                    <a:prstGeom prst="rect">
                      <a:avLst/>
                    </a:prstGeom>
                    <a:ln w="6350">
                      <a:solidFill>
                        <a:schemeClr val="tx1"/>
                      </a:solidFill>
                    </a:ln>
                  </pic:spPr>
                </pic:pic>
              </a:graphicData>
            </a:graphic>
          </wp:inline>
        </w:drawing>
      </w:r>
    </w:p>
    <w:p w14:paraId="518367B8" w14:textId="3FCC8874" w:rsidR="001E6A7B" w:rsidRPr="008A2862" w:rsidRDefault="001E6A7B" w:rsidP="001E6A7B">
      <w:pPr>
        <w:rPr>
          <w:lang w:eastAsia="en-AU"/>
        </w:rPr>
      </w:pPr>
    </w:p>
    <w:p w14:paraId="5828C2CF" w14:textId="4E79FB07" w:rsidR="001E6A7B" w:rsidRPr="008A2862" w:rsidRDefault="001E6A7B" w:rsidP="001E6A7B">
      <w:pPr>
        <w:rPr>
          <w:i/>
        </w:rPr>
      </w:pPr>
      <w:r w:rsidRPr="008A2862">
        <w:rPr>
          <w:b/>
          <w:i/>
        </w:rPr>
        <w:t>Figure 2</w:t>
      </w:r>
      <w:r w:rsidRPr="008A2862">
        <w:rPr>
          <w:i/>
        </w:rPr>
        <w:tab/>
        <w:t xml:space="preserve">Production process of </w:t>
      </w:r>
      <w:r w:rsidR="00263497">
        <w:rPr>
          <w:i/>
        </w:rPr>
        <w:t>endo-inulinase</w:t>
      </w:r>
      <w:r w:rsidRPr="008A2862">
        <w:rPr>
          <w:i/>
        </w:rPr>
        <w:t xml:space="preserve"> food enzyme from fermentation</w:t>
      </w:r>
    </w:p>
    <w:p w14:paraId="23B6FCDF" w14:textId="77777777" w:rsidR="009B56C1" w:rsidRDefault="009B56C1" w:rsidP="009B56C1">
      <w:pPr>
        <w:rPr>
          <w:highlight w:val="yellow"/>
          <w:lang w:eastAsia="en-AU"/>
        </w:rPr>
      </w:pPr>
    </w:p>
    <w:p w14:paraId="46D3DA2B" w14:textId="3AAD924C" w:rsidR="004C0973" w:rsidRDefault="004C0973" w:rsidP="003D1FD4">
      <w:pPr>
        <w:pStyle w:val="Heading3"/>
      </w:pPr>
      <w:bookmarkStart w:id="34" w:name="_Toc14167678"/>
      <w:bookmarkStart w:id="35" w:name="_Toc14167749"/>
      <w:bookmarkStart w:id="36" w:name="_Toc16848709"/>
      <w:bookmarkEnd w:id="34"/>
      <w:bookmarkEnd w:id="35"/>
      <w:r w:rsidRPr="00870803">
        <w:t>2.2.2</w:t>
      </w:r>
      <w:r w:rsidRPr="00870803">
        <w:tab/>
        <w:t>Allergen considerations</w:t>
      </w:r>
      <w:bookmarkEnd w:id="36"/>
    </w:p>
    <w:p w14:paraId="486580E8" w14:textId="67C9DAD4" w:rsidR="004C0973" w:rsidRPr="003E31B8" w:rsidRDefault="00A11C0D" w:rsidP="003E31B8">
      <w:pPr>
        <w:rPr>
          <w:lang w:eastAsia="en-AU"/>
        </w:rPr>
      </w:pPr>
      <w:r>
        <w:rPr>
          <w:lang w:eastAsia="en-AU"/>
        </w:rPr>
        <w:t xml:space="preserve">The fermentation medium contains a carbon source that may comprise, for example, sucrose, maltose, glucose, maltodextrins or starch. It also contains a nitrogen source chosen from, for example, peptones, protein hydrolysates, yeast extracts, glutamate or urea. The medium is also </w:t>
      </w:r>
      <w:r w:rsidR="00526B67">
        <w:rPr>
          <w:lang w:eastAsia="en-AU"/>
        </w:rPr>
        <w:t>typically</w:t>
      </w:r>
      <w:r>
        <w:rPr>
          <w:lang w:eastAsia="en-AU"/>
        </w:rPr>
        <w:t xml:space="preserve"> supplemente</w:t>
      </w:r>
      <w:r w:rsidR="008A6AB6">
        <w:rPr>
          <w:lang w:eastAsia="en-AU"/>
        </w:rPr>
        <w:t xml:space="preserve">d with various inorganic salts. </w:t>
      </w:r>
      <w:r w:rsidR="00632445">
        <w:rPr>
          <w:lang w:eastAsia="en-AU"/>
        </w:rPr>
        <w:t>T</w:t>
      </w:r>
      <w:r w:rsidR="00632445" w:rsidRPr="00632445">
        <w:rPr>
          <w:lang w:eastAsia="en-AU"/>
        </w:rPr>
        <w:t>he applicant states that the enzyme preparation does not contain any allergens</w:t>
      </w:r>
      <w:r w:rsidR="00F5538C">
        <w:rPr>
          <w:lang w:eastAsia="en-AU"/>
        </w:rPr>
        <w:t xml:space="preserve"> </w:t>
      </w:r>
      <w:r w:rsidR="00632445" w:rsidRPr="00632445">
        <w:rPr>
          <w:lang w:eastAsia="en-AU"/>
        </w:rPr>
        <w:t xml:space="preserve">that could originate from the </w:t>
      </w:r>
      <w:r w:rsidR="00632445" w:rsidRPr="00632445">
        <w:rPr>
          <w:lang w:eastAsia="en-AU"/>
        </w:rPr>
        <w:lastRenderedPageBreak/>
        <w:t>fermentation medium</w:t>
      </w:r>
      <w:r w:rsidR="00F5538C">
        <w:rPr>
          <w:lang w:eastAsia="en-AU"/>
        </w:rPr>
        <w:t>. Further, Appendix</w:t>
      </w:r>
      <w:r w:rsidR="0028325F" w:rsidRPr="00632445">
        <w:rPr>
          <w:lang w:eastAsia="en-AU"/>
        </w:rPr>
        <w:t xml:space="preserve"> </w:t>
      </w:r>
      <w:r w:rsidR="00E774A6" w:rsidRPr="00632445">
        <w:rPr>
          <w:lang w:eastAsia="en-AU"/>
        </w:rPr>
        <w:t>7</w:t>
      </w:r>
      <w:r w:rsidR="00F5538C">
        <w:rPr>
          <w:lang w:eastAsia="en-AU"/>
        </w:rPr>
        <w:t xml:space="preserve"> indicates </w:t>
      </w:r>
      <w:r w:rsidR="00F44DEC">
        <w:rPr>
          <w:lang w:eastAsia="en-AU"/>
        </w:rPr>
        <w:t>nil</w:t>
      </w:r>
      <w:r w:rsidR="00F5538C">
        <w:rPr>
          <w:lang w:eastAsia="en-AU"/>
        </w:rPr>
        <w:t xml:space="preserve"> presence of allergens in the enzyme preparation</w:t>
      </w:r>
      <w:r w:rsidR="00F44DEC">
        <w:rPr>
          <w:lang w:eastAsia="en-AU"/>
        </w:rPr>
        <w:t xml:space="preserve"> </w:t>
      </w:r>
      <w:r w:rsidR="00F3420D">
        <w:rPr>
          <w:lang w:eastAsia="en-AU"/>
        </w:rPr>
        <w:t>(</w:t>
      </w:r>
      <w:r w:rsidR="00F44DEC">
        <w:rPr>
          <w:lang w:eastAsia="en-AU"/>
        </w:rPr>
        <w:t xml:space="preserve">through </w:t>
      </w:r>
      <w:r w:rsidR="00F3420D">
        <w:rPr>
          <w:lang w:eastAsia="en-AU"/>
        </w:rPr>
        <w:t xml:space="preserve">both </w:t>
      </w:r>
      <w:r w:rsidR="00F44DEC">
        <w:rPr>
          <w:lang w:eastAsia="en-AU"/>
        </w:rPr>
        <w:t>the</w:t>
      </w:r>
      <w:r w:rsidR="00F5538C">
        <w:rPr>
          <w:lang w:eastAsia="en-AU"/>
        </w:rPr>
        <w:t xml:space="preserve"> ingredients or possible cross contamination</w:t>
      </w:r>
      <w:r w:rsidR="00F3420D">
        <w:rPr>
          <w:lang w:eastAsia="en-AU"/>
        </w:rPr>
        <w:t>)</w:t>
      </w:r>
      <w:r w:rsidR="003E31B8" w:rsidRPr="00632445">
        <w:rPr>
          <w:lang w:eastAsia="en-AU"/>
        </w:rPr>
        <w:t>.</w:t>
      </w:r>
      <w:r w:rsidR="00526B67" w:rsidRPr="00632445">
        <w:rPr>
          <w:lang w:eastAsia="en-AU"/>
        </w:rPr>
        <w:t xml:space="preserve"> </w:t>
      </w:r>
    </w:p>
    <w:p w14:paraId="790F2F0D" w14:textId="77777777" w:rsidR="004C0973" w:rsidRPr="00735B44" w:rsidRDefault="004C0973" w:rsidP="003D1FD4">
      <w:pPr>
        <w:pStyle w:val="Heading3"/>
      </w:pPr>
      <w:bookmarkStart w:id="37" w:name="_Toc536543993"/>
      <w:bookmarkStart w:id="38" w:name="_Toc536607128"/>
      <w:bookmarkStart w:id="39" w:name="_Toc16848710"/>
      <w:r w:rsidRPr="00735B44">
        <w:t>2.2.</w:t>
      </w:r>
      <w:r>
        <w:t>3</w:t>
      </w:r>
      <w:r w:rsidRPr="00735B44">
        <w:tab/>
        <w:t>Specifications</w:t>
      </w:r>
      <w:bookmarkEnd w:id="37"/>
      <w:bookmarkEnd w:id="38"/>
      <w:bookmarkEnd w:id="39"/>
    </w:p>
    <w:p w14:paraId="568CFFB4" w14:textId="740673A4"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t>are i</w:t>
      </w:r>
      <w:r w:rsidRPr="00735B44">
        <w:t xml:space="preserve">nternational specifications for enzymes used in the production of food. These </w:t>
      </w:r>
      <w:r>
        <w:t xml:space="preserve">are </w:t>
      </w:r>
      <w:r w:rsidRPr="00735B44">
        <w:t xml:space="preserve">primary sources of specifications listed in </w:t>
      </w:r>
      <w:r w:rsidR="009C40FA">
        <w:t>section</w:t>
      </w:r>
      <w:r w:rsidR="009C40FA" w:rsidRPr="00735B44">
        <w:t xml:space="preserve"> </w:t>
      </w:r>
      <w:r w:rsidRPr="00735B44">
        <w:t xml:space="preserve">S3—2 </w:t>
      </w:r>
      <w:r w:rsidR="009C40FA">
        <w:t xml:space="preserve">of Schedule 3 </w:t>
      </w:r>
      <w:r w:rsidRPr="00735B44">
        <w:t xml:space="preserve">of the Code. Enzymes need to meet these specifications. Schedule 3 </w:t>
      </w:r>
      <w:r w:rsidR="00F27E21">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232D7BE6" w14:textId="7224E378" w:rsidR="00647302"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rsidR="00526B67">
        <w:t xml:space="preserve">different batches of the </w:t>
      </w:r>
      <w:r w:rsidR="00263497">
        <w:t>endo-inulinase</w:t>
      </w:r>
      <w:r w:rsidR="00A02D49" w:rsidRPr="00A02D49">
        <w:t xml:space="preserve"> </w:t>
      </w:r>
      <w:r>
        <w:t>product</w:t>
      </w:r>
      <w:r w:rsidR="00526B67">
        <w:t xml:space="preserve"> </w:t>
      </w:r>
      <w:r w:rsidRPr="00735B44">
        <w:t xml:space="preserve">with international specifications established by JECFA and Food Chemicals Codex, as well as those in the Code (as applicable). </w:t>
      </w:r>
      <w:r w:rsidR="00647302">
        <w:t>Based on the</w:t>
      </w:r>
      <w:r w:rsidR="00526B67">
        <w:t>se</w:t>
      </w:r>
      <w:r w:rsidR="00647302">
        <w:t xml:space="preserve"> results, the enzyme preparation meets </w:t>
      </w:r>
      <w:r w:rsidR="007B7270">
        <w:t xml:space="preserve">all relevant </w:t>
      </w:r>
      <w:r w:rsidR="00647302">
        <w:t>specifications.</w:t>
      </w:r>
    </w:p>
    <w:p w14:paraId="3EE4AF9D" w14:textId="77777777" w:rsidR="0051544E" w:rsidRPr="00426F2C" w:rsidRDefault="0051544E" w:rsidP="0051544E">
      <w:pPr>
        <w:rPr>
          <w:highlight w:val="yellow"/>
          <w:lang w:eastAsia="en-AU"/>
        </w:rPr>
      </w:pPr>
    </w:p>
    <w:p w14:paraId="2AC10617" w14:textId="3F963443" w:rsidR="001E6A7B" w:rsidRPr="00F952B6" w:rsidRDefault="00735B44" w:rsidP="001E6A7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 of</w:t>
      </w:r>
      <w:r w:rsidR="00290C1C" w:rsidRPr="00F952B6">
        <w:rPr>
          <w:b w:val="0"/>
          <w:i/>
        </w:rPr>
        <w:t xml:space="preserve"> </w:t>
      </w:r>
      <w:r w:rsidR="00263497">
        <w:rPr>
          <w:b w:val="0"/>
          <w:i/>
        </w:rPr>
        <w:t>Puratos</w:t>
      </w:r>
      <w:r w:rsidR="00F952B6" w:rsidRPr="00F952B6">
        <w:rPr>
          <w:b w:val="0"/>
          <w:i/>
        </w:rPr>
        <w:t xml:space="preserve"> enzyme </w:t>
      </w:r>
      <w:r w:rsidR="00263497">
        <w:rPr>
          <w:b w:val="0"/>
          <w:i/>
        </w:rPr>
        <w:t xml:space="preserve">endo-inulinase </w:t>
      </w:r>
      <w:r w:rsidR="001E6A7B" w:rsidRPr="00F952B6">
        <w:rPr>
          <w:b w:val="0"/>
          <w:i/>
        </w:rPr>
        <w:t>compared to JECFA, Food Chemicals Codex, and Code specifications for enzymes</w:t>
      </w:r>
      <w:r w:rsidR="00F44DEC">
        <w:rPr>
          <w:b w:val="0"/>
          <w:i/>
        </w:rPr>
        <w:t xml:space="preserve"> (3 batches)</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1E6A7B" w:rsidRPr="00426F2C"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A136763" w14:textId="77777777" w:rsidR="001E6A7B" w:rsidRPr="00464F1C" w:rsidRDefault="001E6A7B" w:rsidP="00290C1C">
            <w:pPr>
              <w:keepNext/>
              <w:keepLines/>
              <w:spacing w:before="60" w:after="60"/>
              <w:jc w:val="center"/>
              <w:rPr>
                <w:rFonts w:cs="Arial"/>
                <w:b w:val="0"/>
                <w:bCs w:val="0"/>
                <w:i w:val="0"/>
                <w:iCs w:val="0"/>
                <w:color w:val="FFFFFF" w:themeColor="background1"/>
                <w:sz w:val="20"/>
                <w:szCs w:val="20"/>
              </w:rPr>
            </w:pPr>
          </w:p>
          <w:p w14:paraId="6572224B" w14:textId="6B5A4D1F" w:rsidR="001E6A7B" w:rsidRPr="00464F1C" w:rsidRDefault="001E6A7B" w:rsidP="00F44DEC">
            <w:pPr>
              <w:keepNext/>
              <w:keepLines/>
              <w:spacing w:before="60" w:after="60"/>
              <w:jc w:val="center"/>
              <w:rPr>
                <w:rFonts w:cs="Arial"/>
                <w:i w:val="0"/>
                <w:color w:val="FFFFFF" w:themeColor="background1"/>
                <w:sz w:val="20"/>
                <w:szCs w:val="20"/>
              </w:rPr>
            </w:pPr>
            <w:r w:rsidRPr="00464F1C">
              <w:rPr>
                <w:rFonts w:cs="Arial"/>
                <w:i w:val="0"/>
                <w:color w:val="FFFFFF" w:themeColor="background1"/>
                <w:sz w:val="20"/>
                <w:szCs w:val="20"/>
              </w:rPr>
              <w:t>Analysis</w:t>
            </w:r>
            <w:r w:rsidR="00F14036">
              <w:rPr>
                <w:rFonts w:cs="Arial"/>
                <w:i w:val="0"/>
                <w:color w:val="FFFFFF" w:themeColor="background1"/>
                <w:sz w:val="20"/>
                <w:szCs w:val="20"/>
              </w:rPr>
              <w:t xml:space="preserve"> </w:t>
            </w:r>
          </w:p>
        </w:tc>
        <w:tc>
          <w:tcPr>
            <w:tcW w:w="1632" w:type="dxa"/>
            <w:vMerge w:val="restart"/>
            <w:shd w:val="clear" w:color="99CCFF" w:fill="616571"/>
            <w:vAlign w:val="center"/>
          </w:tcPr>
          <w:p w14:paraId="669A9593" w14:textId="15B063A0" w:rsidR="001E6A7B" w:rsidRPr="00464F1C" w:rsidRDefault="00263497" w:rsidP="000475B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 xml:space="preserve">Puratos </w:t>
            </w:r>
            <w:r w:rsidR="001E6A7B" w:rsidRPr="00464F1C">
              <w:rPr>
                <w:rFonts w:cs="Arial"/>
                <w:i w:val="0"/>
                <w:color w:val="FFFFFF" w:themeColor="background1"/>
                <w:sz w:val="20"/>
                <w:szCs w:val="20"/>
              </w:rPr>
              <w:t>analysis</w:t>
            </w:r>
          </w:p>
        </w:tc>
        <w:tc>
          <w:tcPr>
            <w:tcW w:w="4932" w:type="dxa"/>
            <w:gridSpan w:val="3"/>
            <w:shd w:val="clear" w:color="99CCFF" w:fill="616571"/>
          </w:tcPr>
          <w:p w14:paraId="53690BAE"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464F1C">
              <w:rPr>
                <w:rFonts w:cs="Arial"/>
                <w:i w:val="0"/>
                <w:color w:val="FFFFFF" w:themeColor="background1"/>
                <w:sz w:val="20"/>
                <w:szCs w:val="20"/>
              </w:rPr>
              <w:t>Specifications</w:t>
            </w:r>
          </w:p>
        </w:tc>
      </w:tr>
      <w:tr w:rsidR="001E6A7B" w:rsidRPr="00426F2C"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616571"/>
          </w:tcPr>
          <w:p w14:paraId="02D933C8" w14:textId="77777777" w:rsidR="001E6A7B" w:rsidRPr="00464F1C"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shd w:val="clear" w:color="99CCFF" w:fill="616571"/>
            <w:vAlign w:val="center"/>
          </w:tcPr>
          <w:p w14:paraId="72E2F5AE" w14:textId="6D14F482"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JECFA</w:t>
            </w:r>
          </w:p>
        </w:tc>
        <w:tc>
          <w:tcPr>
            <w:tcW w:w="1594" w:type="dxa"/>
            <w:shd w:val="clear" w:color="99CCFF" w:fill="616571"/>
            <w:vAlign w:val="center"/>
          </w:tcPr>
          <w:p w14:paraId="07F7FF83"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Food Chemicals Codex</w:t>
            </w:r>
          </w:p>
        </w:tc>
        <w:tc>
          <w:tcPr>
            <w:tcW w:w="1667" w:type="dxa"/>
            <w:shd w:val="clear" w:color="99CCFF" w:fill="616571"/>
            <w:vAlign w:val="center"/>
          </w:tcPr>
          <w:p w14:paraId="5011FC43" w14:textId="0EF43BD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Australia New Zealand Food Standards Code</w:t>
            </w:r>
          </w:p>
          <w:p w14:paraId="5D076E9B"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464F1C">
              <w:rPr>
                <w:rFonts w:cs="Arial"/>
                <w:b w:val="0"/>
                <w:color w:val="FFFFFF" w:themeColor="background1"/>
                <w:sz w:val="20"/>
                <w:szCs w:val="20"/>
              </w:rPr>
              <w:t>(section S3—4)</w:t>
            </w:r>
          </w:p>
        </w:tc>
      </w:tr>
      <w:tr w:rsidR="001E6A7B" w:rsidRPr="00426F2C"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362D9D8D" w:rsidR="00FB1E3F" w:rsidRPr="00FB1E3F" w:rsidRDefault="001E6A7B" w:rsidP="00F44DEC">
            <w:pPr>
              <w:spacing w:before="60" w:after="60"/>
              <w:rPr>
                <w:b w:val="0"/>
                <w:sz w:val="20"/>
                <w:szCs w:val="20"/>
              </w:rPr>
            </w:pPr>
            <w:r w:rsidRPr="00FB1E3F">
              <w:rPr>
                <w:b w:val="0"/>
                <w:sz w:val="20"/>
                <w:szCs w:val="20"/>
              </w:rPr>
              <w:t>Lead (mg/kg)</w:t>
            </w:r>
          </w:p>
        </w:tc>
        <w:tc>
          <w:tcPr>
            <w:tcW w:w="1632" w:type="dxa"/>
            <w:shd w:val="clear" w:color="auto" w:fill="ECECEC"/>
          </w:tcPr>
          <w:p w14:paraId="723EA682" w14:textId="32674A86" w:rsidR="000475B5" w:rsidRPr="00FB1E3F" w:rsidRDefault="00F44DEC"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&lt;0.10</w:t>
            </w:r>
          </w:p>
        </w:tc>
        <w:tc>
          <w:tcPr>
            <w:tcW w:w="1671" w:type="dxa"/>
            <w:shd w:val="clear" w:color="auto" w:fill="ECECEC"/>
          </w:tcPr>
          <w:p w14:paraId="6886B68B"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594" w:type="dxa"/>
            <w:shd w:val="clear" w:color="auto" w:fill="ECECEC"/>
          </w:tcPr>
          <w:p w14:paraId="1315F34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667" w:type="dxa"/>
            <w:shd w:val="clear" w:color="auto" w:fill="ECECEC"/>
          </w:tcPr>
          <w:p w14:paraId="4C238DA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≤2</w:t>
            </w:r>
          </w:p>
        </w:tc>
      </w:tr>
      <w:tr w:rsidR="001E6A7B" w:rsidRPr="00426F2C"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14045D36" w:rsidR="00FB1E3F" w:rsidRPr="00B07B80" w:rsidRDefault="001E6A7B" w:rsidP="00F44DEC">
            <w:pPr>
              <w:spacing w:before="60" w:after="60"/>
              <w:rPr>
                <w:b w:val="0"/>
                <w:bCs w:val="0"/>
                <w:i/>
                <w:sz w:val="20"/>
                <w:szCs w:val="20"/>
              </w:rPr>
            </w:pPr>
            <w:r w:rsidRPr="00FB1E3F">
              <w:rPr>
                <w:b w:val="0"/>
                <w:sz w:val="20"/>
                <w:szCs w:val="20"/>
              </w:rPr>
              <w:t>Arsenic (mg/kg)</w:t>
            </w:r>
          </w:p>
        </w:tc>
        <w:tc>
          <w:tcPr>
            <w:tcW w:w="1632" w:type="dxa"/>
          </w:tcPr>
          <w:p w14:paraId="71CE2CF5" w14:textId="5FD724CD" w:rsidR="00B07B80" w:rsidRPr="00FB1E3F" w:rsidRDefault="00F44DEC"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&lt;0.10</w:t>
            </w:r>
          </w:p>
        </w:tc>
        <w:tc>
          <w:tcPr>
            <w:tcW w:w="1671" w:type="dxa"/>
          </w:tcPr>
          <w:p w14:paraId="0D9FBA7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Pr>
          <w:p w14:paraId="43C19D62"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Pr>
          <w:p w14:paraId="75BF81E1"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≤1</w:t>
            </w:r>
          </w:p>
        </w:tc>
      </w:tr>
      <w:tr w:rsidR="001E6A7B" w:rsidRPr="00426F2C"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13423794" w:rsidR="001E6A7B" w:rsidRPr="00FB1E3F" w:rsidRDefault="00FB1E3F" w:rsidP="00E70FF1">
            <w:pPr>
              <w:spacing w:before="60" w:after="60"/>
              <w:rPr>
                <w:b w:val="0"/>
                <w:sz w:val="20"/>
                <w:szCs w:val="20"/>
              </w:rPr>
            </w:pPr>
            <w:r w:rsidRPr="00FB1E3F">
              <w:rPr>
                <w:b w:val="0"/>
                <w:sz w:val="20"/>
                <w:szCs w:val="20"/>
              </w:rPr>
              <w:t>Cadmium</w:t>
            </w:r>
            <w:r w:rsidR="000475B5">
              <w:rPr>
                <w:b w:val="0"/>
                <w:sz w:val="20"/>
                <w:szCs w:val="20"/>
              </w:rPr>
              <w:t xml:space="preserve"> (mg/kg)</w:t>
            </w:r>
          </w:p>
        </w:tc>
        <w:tc>
          <w:tcPr>
            <w:tcW w:w="1632" w:type="dxa"/>
            <w:tcBorders>
              <w:bottom w:val="nil"/>
            </w:tcBorders>
            <w:shd w:val="clear" w:color="auto" w:fill="ECECEC"/>
          </w:tcPr>
          <w:p w14:paraId="4C141192" w14:textId="53D5E9D0" w:rsidR="00B07B80"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&lt;0.010</w:t>
            </w:r>
          </w:p>
        </w:tc>
        <w:tc>
          <w:tcPr>
            <w:tcW w:w="1671" w:type="dxa"/>
            <w:tcBorders>
              <w:bottom w:val="nil"/>
            </w:tcBorders>
            <w:shd w:val="clear" w:color="auto" w:fill="ECECEC"/>
          </w:tcPr>
          <w:p w14:paraId="38F2FA63"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Borders>
              <w:bottom w:val="nil"/>
            </w:tcBorders>
            <w:shd w:val="clear" w:color="auto" w:fill="ECECEC"/>
          </w:tcPr>
          <w:p w14:paraId="5C7C747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Borders>
              <w:bottom w:val="nil"/>
            </w:tcBorders>
            <w:shd w:val="clear" w:color="auto" w:fill="ECECEC"/>
          </w:tcPr>
          <w:p w14:paraId="43BEF088" w14:textId="033530CB" w:rsidR="001E6A7B"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FB1E3F" w:rsidRPr="00426F2C"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2FAA3CD4" w14:textId="2A7E6036" w:rsidR="004C0973" w:rsidRPr="00FB1E3F" w:rsidRDefault="00FB1E3F" w:rsidP="00E70FF1">
            <w:pPr>
              <w:spacing w:before="60" w:after="60"/>
              <w:rPr>
                <w:b w:val="0"/>
                <w:sz w:val="20"/>
                <w:szCs w:val="20"/>
              </w:rPr>
            </w:pPr>
            <w:r w:rsidRPr="00FB1E3F">
              <w:rPr>
                <w:b w:val="0"/>
                <w:sz w:val="20"/>
                <w:szCs w:val="20"/>
              </w:rPr>
              <w:t>Mercury</w:t>
            </w:r>
            <w:r w:rsidR="000475B5">
              <w:rPr>
                <w:b w:val="0"/>
                <w:sz w:val="20"/>
                <w:szCs w:val="20"/>
              </w:rPr>
              <w:t xml:space="preserve"> (mg/kg)</w:t>
            </w:r>
          </w:p>
        </w:tc>
        <w:tc>
          <w:tcPr>
            <w:tcW w:w="1632" w:type="dxa"/>
            <w:tcBorders>
              <w:bottom w:val="single" w:sz="4" w:space="0" w:color="ECECEC"/>
            </w:tcBorders>
          </w:tcPr>
          <w:p w14:paraId="30EC5966" w14:textId="7CD74136" w:rsidR="00B07B80"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&lt;0.010</w:t>
            </w:r>
          </w:p>
        </w:tc>
        <w:tc>
          <w:tcPr>
            <w:tcW w:w="1671" w:type="dxa"/>
            <w:tcBorders>
              <w:bottom w:val="single" w:sz="4" w:space="0" w:color="ECECEC"/>
            </w:tcBorders>
          </w:tcPr>
          <w:p w14:paraId="762E635C" w14:textId="4237660B" w:rsidR="00FB1E3F"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bottom w:val="single" w:sz="4" w:space="0" w:color="ECECEC"/>
            </w:tcBorders>
          </w:tcPr>
          <w:p w14:paraId="6CA6C14C" w14:textId="4C69DD16" w:rsidR="00FB1E3F" w:rsidRPr="00FB1E3F" w:rsidRDefault="00E70FF1"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667" w:type="dxa"/>
            <w:tcBorders>
              <w:bottom w:val="single" w:sz="4" w:space="0" w:color="ECECEC"/>
            </w:tcBorders>
          </w:tcPr>
          <w:p w14:paraId="54526AA2" w14:textId="5D0148C0" w:rsidR="00FB1E3F"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6A7B" w:rsidRPr="00426F2C"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1CDCE35F" w14:textId="19854319" w:rsidR="000C787E" w:rsidRPr="00FB1E3F" w:rsidRDefault="000C787E" w:rsidP="00E70FF1">
            <w:pPr>
              <w:spacing w:before="60" w:after="60"/>
              <w:rPr>
                <w:b w:val="0"/>
                <w:sz w:val="20"/>
                <w:szCs w:val="20"/>
              </w:rPr>
            </w:pPr>
            <w:r>
              <w:rPr>
                <w:b w:val="0"/>
                <w:sz w:val="20"/>
                <w:szCs w:val="20"/>
              </w:rPr>
              <w:t>Coliforms (</w:t>
            </w:r>
            <w:r w:rsidR="00B24985">
              <w:rPr>
                <w:b w:val="0"/>
                <w:sz w:val="20"/>
                <w:szCs w:val="20"/>
              </w:rPr>
              <w:t>cfu</w:t>
            </w:r>
            <w:r w:rsidR="001E6A7B" w:rsidRPr="00FB1E3F">
              <w:rPr>
                <w:b w:val="0"/>
                <w:sz w:val="20"/>
                <w:szCs w:val="20"/>
              </w:rPr>
              <w:t>/g)</w:t>
            </w:r>
          </w:p>
        </w:tc>
        <w:tc>
          <w:tcPr>
            <w:tcW w:w="1632" w:type="dxa"/>
            <w:tcBorders>
              <w:top w:val="nil"/>
              <w:bottom w:val="nil"/>
            </w:tcBorders>
            <w:shd w:val="clear" w:color="auto" w:fill="ECECEC"/>
          </w:tcPr>
          <w:p w14:paraId="47E46EF7" w14:textId="295B9952" w:rsidR="00303A1A"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&lt;10</w:t>
            </w:r>
          </w:p>
        </w:tc>
        <w:tc>
          <w:tcPr>
            <w:tcW w:w="1671" w:type="dxa"/>
            <w:tcBorders>
              <w:top w:val="nil"/>
              <w:bottom w:val="nil"/>
            </w:tcBorders>
            <w:shd w:val="clear" w:color="auto" w:fill="ECECEC"/>
          </w:tcPr>
          <w:p w14:paraId="2181D9A4"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xml:space="preserve">≤30 </w:t>
            </w:r>
          </w:p>
        </w:tc>
        <w:tc>
          <w:tcPr>
            <w:tcW w:w="1594" w:type="dxa"/>
            <w:tcBorders>
              <w:top w:val="nil"/>
              <w:bottom w:val="nil"/>
            </w:tcBorders>
            <w:shd w:val="clear" w:color="auto" w:fill="ECECEC"/>
          </w:tcPr>
          <w:p w14:paraId="0D872F3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≤30</w:t>
            </w:r>
          </w:p>
        </w:tc>
        <w:tc>
          <w:tcPr>
            <w:tcW w:w="1667" w:type="dxa"/>
            <w:tcBorders>
              <w:top w:val="nil"/>
              <w:bottom w:val="nil"/>
            </w:tcBorders>
            <w:shd w:val="clear" w:color="auto" w:fill="ECECEC"/>
          </w:tcPr>
          <w:p w14:paraId="162BF5A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r>
      <w:tr w:rsidR="001E6A7B" w:rsidRPr="00426F2C" w14:paraId="409E7F15"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B95EBC8" w14:textId="3B86FA8A" w:rsidR="000C787E" w:rsidRPr="00B24985" w:rsidRDefault="001E6A7B" w:rsidP="00E70FF1">
            <w:pPr>
              <w:spacing w:before="60" w:after="60"/>
              <w:rPr>
                <w:b w:val="0"/>
                <w:sz w:val="20"/>
                <w:szCs w:val="20"/>
              </w:rPr>
            </w:pPr>
            <w:r w:rsidRPr="00B24985">
              <w:rPr>
                <w:b w:val="0"/>
                <w:i/>
                <w:sz w:val="20"/>
                <w:szCs w:val="20"/>
              </w:rPr>
              <w:t>Salmonella</w:t>
            </w:r>
            <w:r w:rsidRPr="00B24985">
              <w:rPr>
                <w:b w:val="0"/>
                <w:sz w:val="20"/>
                <w:szCs w:val="20"/>
              </w:rPr>
              <w:t xml:space="preserve"> (in 25 g)</w:t>
            </w:r>
          </w:p>
        </w:tc>
        <w:tc>
          <w:tcPr>
            <w:tcW w:w="1632" w:type="dxa"/>
            <w:tcBorders>
              <w:top w:val="nil"/>
              <w:bottom w:val="nil"/>
            </w:tcBorders>
          </w:tcPr>
          <w:p w14:paraId="14D64D28" w14:textId="68AD4478" w:rsidR="000475B5" w:rsidRPr="00B24985"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top w:val="nil"/>
              <w:bottom w:val="nil"/>
            </w:tcBorders>
          </w:tcPr>
          <w:p w14:paraId="7C5AC45E"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412C419F"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Negative</w:t>
            </w:r>
          </w:p>
        </w:tc>
        <w:tc>
          <w:tcPr>
            <w:tcW w:w="1667" w:type="dxa"/>
            <w:tcBorders>
              <w:top w:val="nil"/>
              <w:bottom w:val="nil"/>
            </w:tcBorders>
          </w:tcPr>
          <w:p w14:paraId="59DE4F8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1B7E1E93" w14:textId="7A0D3B5B" w:rsidR="000C787E" w:rsidRPr="00B24985" w:rsidRDefault="001E6A7B" w:rsidP="00E70FF1">
            <w:pPr>
              <w:spacing w:before="60" w:after="60"/>
              <w:rPr>
                <w:b w:val="0"/>
                <w:i/>
                <w:sz w:val="20"/>
                <w:szCs w:val="20"/>
              </w:rPr>
            </w:pPr>
            <w:r w:rsidRPr="00B24985">
              <w:rPr>
                <w:b w:val="0"/>
                <w:i/>
                <w:sz w:val="20"/>
                <w:szCs w:val="20"/>
              </w:rPr>
              <w:t xml:space="preserve">E. coli </w:t>
            </w:r>
            <w:r w:rsidRPr="00B24985">
              <w:rPr>
                <w:b w:val="0"/>
                <w:sz w:val="20"/>
                <w:szCs w:val="20"/>
              </w:rPr>
              <w:t>(in 25 g)</w:t>
            </w:r>
          </w:p>
        </w:tc>
        <w:tc>
          <w:tcPr>
            <w:tcW w:w="1632" w:type="dxa"/>
            <w:tcBorders>
              <w:bottom w:val="nil"/>
            </w:tcBorders>
            <w:shd w:val="clear" w:color="auto" w:fill="ECECEC"/>
          </w:tcPr>
          <w:p w14:paraId="47F95D66" w14:textId="57E0F6BD" w:rsidR="00303A1A" w:rsidRPr="00B24985"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bottom w:val="nil"/>
            </w:tcBorders>
            <w:shd w:val="clear" w:color="auto" w:fill="ECECEC"/>
          </w:tcPr>
          <w:p w14:paraId="4480FB7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 xml:space="preserve">Absent </w:t>
            </w:r>
          </w:p>
        </w:tc>
        <w:tc>
          <w:tcPr>
            <w:tcW w:w="1594" w:type="dxa"/>
            <w:tcBorders>
              <w:bottom w:val="nil"/>
            </w:tcBorders>
            <w:shd w:val="clear" w:color="auto" w:fill="ECECEC"/>
          </w:tcPr>
          <w:p w14:paraId="233C66F7"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bottom w:val="nil"/>
            </w:tcBorders>
            <w:shd w:val="clear" w:color="auto" w:fill="ECECEC"/>
          </w:tcPr>
          <w:p w14:paraId="5F46DDEE" w14:textId="1D2A5A76"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2020AC71"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64D0468" w14:textId="0E0EAC74" w:rsidR="00303A1A" w:rsidRPr="000475B5" w:rsidRDefault="001E6A7B" w:rsidP="00E70FF1">
            <w:pPr>
              <w:spacing w:before="60" w:after="60"/>
              <w:rPr>
                <w:b w:val="0"/>
                <w:i/>
                <w:sz w:val="20"/>
                <w:szCs w:val="20"/>
              </w:rPr>
            </w:pPr>
            <w:r w:rsidRPr="00B24985">
              <w:rPr>
                <w:b w:val="0"/>
                <w:sz w:val="20"/>
                <w:szCs w:val="20"/>
              </w:rPr>
              <w:t>Antimicrobial activity</w:t>
            </w:r>
          </w:p>
        </w:tc>
        <w:tc>
          <w:tcPr>
            <w:tcW w:w="1632" w:type="dxa"/>
            <w:tcBorders>
              <w:top w:val="nil"/>
              <w:bottom w:val="nil"/>
            </w:tcBorders>
          </w:tcPr>
          <w:p w14:paraId="5D8BB232" w14:textId="731EE934" w:rsidR="00303A1A" w:rsidRPr="00B24985"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671" w:type="dxa"/>
            <w:tcBorders>
              <w:top w:val="nil"/>
              <w:bottom w:val="nil"/>
            </w:tcBorders>
          </w:tcPr>
          <w:p w14:paraId="53400D64"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5B4E9E60"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top w:val="nil"/>
              <w:bottom w:val="nil"/>
            </w:tcBorders>
          </w:tcPr>
          <w:p w14:paraId="721EBC09"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0475B5" w:rsidRPr="00426F2C" w14:paraId="0C895A42"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single" w:sz="4" w:space="0" w:color="ECECEC"/>
            </w:tcBorders>
            <w:shd w:val="clear" w:color="auto" w:fill="ECECEC"/>
          </w:tcPr>
          <w:p w14:paraId="6F659444" w14:textId="77777777" w:rsidR="000475B5" w:rsidRPr="00B440BE" w:rsidRDefault="000475B5" w:rsidP="000475B5">
            <w:pPr>
              <w:spacing w:before="60" w:after="60"/>
              <w:rPr>
                <w:b w:val="0"/>
                <w:sz w:val="20"/>
                <w:szCs w:val="20"/>
              </w:rPr>
            </w:pPr>
            <w:r w:rsidRPr="00B440BE">
              <w:rPr>
                <w:b w:val="0"/>
                <w:sz w:val="20"/>
                <w:szCs w:val="20"/>
              </w:rPr>
              <w:t>Mycotoxins</w:t>
            </w:r>
          </w:p>
          <w:p w14:paraId="26F5E16D" w14:textId="13F8922A" w:rsidR="00E70FF1" w:rsidRPr="00B24985" w:rsidRDefault="000475B5" w:rsidP="00E70FF1">
            <w:pPr>
              <w:spacing w:before="60" w:after="60"/>
              <w:rPr>
                <w:b w:val="0"/>
                <w:bCs w:val="0"/>
                <w:sz w:val="20"/>
                <w:szCs w:val="20"/>
              </w:rPr>
            </w:pPr>
            <w:r w:rsidRPr="00B07B80">
              <w:rPr>
                <w:b w:val="0"/>
                <w:sz w:val="20"/>
                <w:szCs w:val="20"/>
                <w:highlight w:val="yellow"/>
              </w:rPr>
              <w:t xml:space="preserve"> </w:t>
            </w:r>
          </w:p>
          <w:p w14:paraId="1ECF8E4B" w14:textId="6CC27BB1" w:rsidR="000475B5" w:rsidRPr="00B24985" w:rsidRDefault="000475B5" w:rsidP="00303A1A">
            <w:pPr>
              <w:spacing w:before="60" w:after="60"/>
              <w:rPr>
                <w:sz w:val="20"/>
                <w:szCs w:val="20"/>
              </w:rPr>
            </w:pPr>
          </w:p>
        </w:tc>
        <w:tc>
          <w:tcPr>
            <w:tcW w:w="1632" w:type="dxa"/>
            <w:tcBorders>
              <w:top w:val="nil"/>
              <w:bottom w:val="single" w:sz="4" w:space="0" w:color="ECECEC"/>
            </w:tcBorders>
            <w:shd w:val="clear" w:color="auto" w:fill="ECECEC"/>
          </w:tcPr>
          <w:p w14:paraId="1B929ABB" w14:textId="4ADCDE18" w:rsidR="000475B5" w:rsidRDefault="001E6D7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&lt;LOQ</w:t>
            </w:r>
          </w:p>
        </w:tc>
        <w:tc>
          <w:tcPr>
            <w:tcW w:w="1671" w:type="dxa"/>
            <w:tcBorders>
              <w:top w:val="nil"/>
              <w:bottom w:val="single" w:sz="4" w:space="0" w:color="ECECEC"/>
            </w:tcBorders>
            <w:shd w:val="clear" w:color="auto" w:fill="ECECEC"/>
          </w:tcPr>
          <w:p w14:paraId="6246B659" w14:textId="1957B202" w:rsidR="000475B5" w:rsidRPr="00B24985" w:rsidRDefault="00B07B80"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E70FF1">
              <w:rPr>
                <w:sz w:val="20"/>
                <w:szCs w:val="20"/>
              </w:rPr>
              <w:t>No toxicologically significant levels</w:t>
            </w:r>
          </w:p>
        </w:tc>
        <w:tc>
          <w:tcPr>
            <w:tcW w:w="1594" w:type="dxa"/>
            <w:tcBorders>
              <w:top w:val="nil"/>
              <w:bottom w:val="single" w:sz="4" w:space="0" w:color="ECECEC"/>
            </w:tcBorders>
            <w:shd w:val="clear" w:color="auto" w:fill="ECECEC"/>
          </w:tcPr>
          <w:p w14:paraId="4DCE59EF"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top w:val="nil"/>
              <w:bottom w:val="single" w:sz="4" w:space="0" w:color="ECECEC"/>
            </w:tcBorders>
            <w:shd w:val="clear" w:color="auto" w:fill="ECECEC"/>
          </w:tcPr>
          <w:p w14:paraId="005D0B5B"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855AD6F" w14:textId="6B89B32F" w:rsidR="001E6A7B" w:rsidRPr="00D15C0C" w:rsidRDefault="001E6A7B" w:rsidP="001E6A7B">
      <w:pPr>
        <w:pStyle w:val="Heading2"/>
      </w:pPr>
      <w:bookmarkStart w:id="40" w:name="_Toc472327053"/>
      <w:bookmarkStart w:id="41" w:name="_Toc501699827"/>
      <w:bookmarkStart w:id="42" w:name="_Toc536543994"/>
      <w:bookmarkStart w:id="43" w:name="_Toc536607129"/>
      <w:bookmarkStart w:id="44" w:name="_Toc16848711"/>
      <w:r w:rsidRPr="00D15C0C">
        <w:t>2.3</w:t>
      </w:r>
      <w:r w:rsidRPr="00D15C0C">
        <w:tab/>
        <w:t>Food technology conclusion</w:t>
      </w:r>
      <w:bookmarkEnd w:id="40"/>
      <w:bookmarkEnd w:id="41"/>
      <w:bookmarkEnd w:id="42"/>
      <w:bookmarkEnd w:id="43"/>
      <w:bookmarkEnd w:id="44"/>
    </w:p>
    <w:p w14:paraId="3E520272" w14:textId="25EA6311" w:rsidR="001E6A7B" w:rsidRDefault="001E6A7B" w:rsidP="001E6A7B">
      <w:r w:rsidRPr="00D15C0C">
        <w:t xml:space="preserve">The </w:t>
      </w:r>
      <w:r w:rsidR="00FE665B" w:rsidRPr="00D15C0C">
        <w:t>use</w:t>
      </w:r>
      <w:r w:rsidRPr="00D15C0C">
        <w:t xml:space="preserve"> of this </w:t>
      </w:r>
      <w:r w:rsidR="00263497">
        <w:t>endo-inulinase</w:t>
      </w:r>
      <w:r w:rsidRPr="00D15C0C">
        <w:rPr>
          <w:szCs w:val="20"/>
        </w:rPr>
        <w:t xml:space="preserve"> </w:t>
      </w:r>
      <w:r w:rsidR="00DC022A">
        <w:t xml:space="preserve">in </w:t>
      </w:r>
      <w:r w:rsidR="00263497">
        <w:t xml:space="preserve">hydrolysing inulin to produce FOS </w:t>
      </w:r>
      <w:r w:rsidRPr="00D15C0C">
        <w:t xml:space="preserve">is clearly </w:t>
      </w:r>
      <w:r w:rsidR="007B7270">
        <w:t>described</w:t>
      </w:r>
      <w:r w:rsidRPr="00D15C0C">
        <w:t xml:space="preserve"> in the </w:t>
      </w:r>
      <w:r w:rsidR="00303A1A">
        <w:t xml:space="preserve">application. The </w:t>
      </w:r>
      <w:r w:rsidRPr="00D15C0C">
        <w:t xml:space="preserve">evidence presented to support </w:t>
      </w:r>
      <w:r w:rsidR="00303A1A">
        <w:t xml:space="preserve">its </w:t>
      </w:r>
      <w:r w:rsidRPr="00D15C0C">
        <w:t>proposed use provides adequate assurance that the enzyme, in the form and amounts</w:t>
      </w:r>
      <w:r w:rsidR="00303A1A">
        <w:t xml:space="preserve"> used (which must be consistent with GMP), </w:t>
      </w:r>
      <w:r w:rsidRPr="00D15C0C">
        <w:t>is technologically justified and effective in achieving its stated purpose. The enzyme meets international purity specifications.</w:t>
      </w:r>
      <w:r w:rsidR="00303A1A">
        <w:t xml:space="preserve"> </w:t>
      </w:r>
    </w:p>
    <w:p w14:paraId="5B2C9CE0" w14:textId="07B24CCF" w:rsidR="00CA3849" w:rsidRDefault="00CA3849" w:rsidP="001E6A7B">
      <w:pPr>
        <w:pStyle w:val="Heading1"/>
      </w:pPr>
      <w:bookmarkStart w:id="45" w:name="_Toc505255637"/>
      <w:bookmarkStart w:id="46" w:name="_Toc536543995"/>
      <w:bookmarkStart w:id="47" w:name="_Toc536607130"/>
      <w:bookmarkStart w:id="48" w:name="_Toc16848712"/>
      <w:r w:rsidRPr="001E6A7B">
        <w:lastRenderedPageBreak/>
        <w:t>3 Safety assessment</w:t>
      </w:r>
      <w:bookmarkStart w:id="49" w:name="_Toc471740081"/>
      <w:bookmarkStart w:id="50" w:name="_Toc499282437"/>
      <w:bookmarkEnd w:id="45"/>
      <w:bookmarkEnd w:id="46"/>
      <w:bookmarkEnd w:id="47"/>
      <w:bookmarkEnd w:id="48"/>
    </w:p>
    <w:p w14:paraId="3D6D4F4C" w14:textId="65C51EBC" w:rsidR="00CA3849" w:rsidRPr="006C2969" w:rsidRDefault="00CA3849" w:rsidP="001E6A7B">
      <w:pPr>
        <w:pStyle w:val="Heading2"/>
      </w:pPr>
      <w:bookmarkStart w:id="51" w:name="_Toc471740085"/>
      <w:bookmarkStart w:id="52" w:name="_Toc499282440"/>
      <w:bookmarkStart w:id="53" w:name="_Toc505255639"/>
      <w:bookmarkStart w:id="54" w:name="_Toc536543996"/>
      <w:bookmarkStart w:id="55" w:name="_Toc536607131"/>
      <w:bookmarkStart w:id="56" w:name="_Toc16848713"/>
      <w:bookmarkEnd w:id="49"/>
      <w:bookmarkEnd w:id="50"/>
      <w:r w:rsidRPr="006C2969">
        <w:t>3.</w:t>
      </w:r>
      <w:bookmarkEnd w:id="51"/>
      <w:r w:rsidR="00A07714">
        <w:t>1</w:t>
      </w:r>
      <w:r w:rsidR="001E6A7B">
        <w:tab/>
      </w:r>
      <w:r w:rsidRPr="006C2969">
        <w:t>History of use</w:t>
      </w:r>
      <w:bookmarkEnd w:id="52"/>
      <w:bookmarkEnd w:id="53"/>
      <w:bookmarkEnd w:id="54"/>
      <w:bookmarkEnd w:id="55"/>
      <w:bookmarkEnd w:id="56"/>
      <w:r w:rsidRPr="006C2969">
        <w:t xml:space="preserve"> </w:t>
      </w:r>
    </w:p>
    <w:p w14:paraId="77901D93" w14:textId="49A1A6C2" w:rsidR="009157CA" w:rsidRDefault="00CA3849" w:rsidP="003D1FD4">
      <w:pPr>
        <w:pStyle w:val="Heading3"/>
        <w:rPr>
          <w:rFonts w:cs="Arial"/>
        </w:rPr>
      </w:pPr>
      <w:bookmarkStart w:id="57" w:name="_Toc498940968"/>
      <w:bookmarkStart w:id="58" w:name="_Toc499282441"/>
      <w:bookmarkStart w:id="59" w:name="_Toc536543997"/>
      <w:bookmarkStart w:id="60" w:name="_Toc536607132"/>
      <w:bookmarkStart w:id="61" w:name="_Toc16848714"/>
      <w:r>
        <w:t>3.</w:t>
      </w:r>
      <w:r w:rsidR="00A07714">
        <w:t>1</w:t>
      </w:r>
      <w:r>
        <w:t>.1</w:t>
      </w:r>
      <w:r w:rsidR="0035149D">
        <w:tab/>
      </w:r>
      <w:r>
        <w:t>Host organism</w:t>
      </w:r>
      <w:bookmarkEnd w:id="57"/>
      <w:bookmarkEnd w:id="58"/>
      <w:bookmarkEnd w:id="59"/>
      <w:bookmarkEnd w:id="60"/>
      <w:bookmarkEnd w:id="61"/>
      <w:r>
        <w:t xml:space="preserve"> </w:t>
      </w:r>
      <w:r w:rsidR="009157CA">
        <w:rPr>
          <w:rFonts w:cs="Arial"/>
        </w:rPr>
        <w:t xml:space="preserve"> </w:t>
      </w:r>
    </w:p>
    <w:p w14:paraId="042348C4" w14:textId="562E041D" w:rsidR="00BF446A" w:rsidRDefault="00BF446A" w:rsidP="00BF446A">
      <w:bookmarkStart w:id="62" w:name="_Toc498940969"/>
      <w:bookmarkStart w:id="63" w:name="_Toc499282442"/>
      <w:bookmarkStart w:id="64" w:name="_Toc536543998"/>
      <w:bookmarkStart w:id="65" w:name="_Toc536607133"/>
      <w:r w:rsidRPr="00BF446A">
        <w:rPr>
          <w:i/>
        </w:rPr>
        <w:t xml:space="preserve">Aspergillus oryzae </w:t>
      </w:r>
      <w:r w:rsidRPr="0070258F">
        <w:t>(Ahlburg)</w:t>
      </w:r>
      <w:r w:rsidRPr="00BF446A">
        <w:rPr>
          <w:i/>
        </w:rPr>
        <w:t xml:space="preserve"> Cohn </w:t>
      </w:r>
      <w:r w:rsidRPr="0070258F">
        <w:t>var.</w:t>
      </w:r>
      <w:r w:rsidRPr="00BF446A">
        <w:rPr>
          <w:i/>
        </w:rPr>
        <w:t xml:space="preserve"> oryzae</w:t>
      </w:r>
      <w:r w:rsidR="00F00458">
        <w:t xml:space="preserve"> is a biosafety level 1 organism</w:t>
      </w:r>
      <w:r w:rsidR="00BE59A5">
        <w:t xml:space="preserve"> not commonly associated with human disease.</w:t>
      </w:r>
      <w:r w:rsidR="00D23357">
        <w:t xml:space="preserve"> </w:t>
      </w:r>
      <w:r w:rsidR="00F76C47" w:rsidRPr="00016F39">
        <w:rPr>
          <w:i/>
        </w:rPr>
        <w:t>A. oryzae</w:t>
      </w:r>
      <w:r w:rsidR="00F76C47">
        <w:t xml:space="preserve"> strains </w:t>
      </w:r>
      <w:r w:rsidR="00016F39">
        <w:t xml:space="preserve">have been used for centuries for the production of </w:t>
      </w:r>
      <w:r w:rsidR="006A75E9">
        <w:t xml:space="preserve">fermented products such as </w:t>
      </w:r>
      <w:r w:rsidR="00016F39">
        <w:t>sake, miso and soy sauce</w:t>
      </w:r>
      <w:r w:rsidR="007D2669">
        <w:t>.</w:t>
      </w:r>
      <w:r w:rsidR="00016F39">
        <w:t xml:space="preserve"> </w:t>
      </w:r>
      <w:r w:rsidR="007D2669">
        <w:t>Therefore,</w:t>
      </w:r>
      <w:r w:rsidR="00016F39">
        <w:t xml:space="preserve"> </w:t>
      </w:r>
      <w:r w:rsidR="00AE591C">
        <w:t xml:space="preserve">these bacterial strains have </w:t>
      </w:r>
      <w:r w:rsidR="00016F39">
        <w:t>a long history of safe use in food (</w:t>
      </w:r>
      <w:r w:rsidR="00D90276">
        <w:t>Abe and Gomi, 2008</w:t>
      </w:r>
      <w:r w:rsidR="00016F39">
        <w:t xml:space="preserve">). </w:t>
      </w:r>
      <w:r w:rsidR="00921398">
        <w:t xml:space="preserve">The combination of its safe use in food with the ability to </w:t>
      </w:r>
      <w:r w:rsidR="00823A0F">
        <w:t>grow</w:t>
      </w:r>
      <w:r w:rsidR="00921398">
        <w:t xml:space="preserve"> </w:t>
      </w:r>
      <w:r w:rsidR="00823A0F">
        <w:t xml:space="preserve">in large-scale cultures </w:t>
      </w:r>
      <w:r w:rsidR="00921398">
        <w:t>and</w:t>
      </w:r>
      <w:r w:rsidR="00823A0F">
        <w:t xml:space="preserve"> to express heterologous proteins, means </w:t>
      </w:r>
      <w:r w:rsidR="00823A0F" w:rsidRPr="00823A0F">
        <w:rPr>
          <w:i/>
        </w:rPr>
        <w:t>A. oryzae</w:t>
      </w:r>
      <w:r w:rsidR="00823A0F">
        <w:t xml:space="preserve"> is a preferred strain for the i</w:t>
      </w:r>
      <w:r w:rsidR="00016F39">
        <w:t>ndustrial</w:t>
      </w:r>
      <w:r w:rsidR="006A75E9">
        <w:t xml:space="preserve"> </w:t>
      </w:r>
      <w:r w:rsidR="00F76C47">
        <w:t>production of food enzy</w:t>
      </w:r>
      <w:r w:rsidR="00823A0F">
        <w:t>mes (Braaksma and Punt, 2008).</w:t>
      </w:r>
    </w:p>
    <w:p w14:paraId="3CC14E93" w14:textId="77777777" w:rsidR="00F00458" w:rsidRDefault="00F00458" w:rsidP="00BF446A">
      <w:pPr>
        <w:rPr>
          <w:color w:val="00B050"/>
        </w:rPr>
      </w:pPr>
    </w:p>
    <w:p w14:paraId="23454C75" w14:textId="020CEA54" w:rsidR="00F00458" w:rsidRPr="00BF446A" w:rsidRDefault="00F00458" w:rsidP="00BF446A">
      <w:r>
        <w:t xml:space="preserve">The recipient strain of </w:t>
      </w:r>
      <w:r w:rsidRPr="00F00458">
        <w:rPr>
          <w:i/>
        </w:rPr>
        <w:t>A. oryzae</w:t>
      </w:r>
      <w:r>
        <w:t xml:space="preserve"> was purchased from the Belgian Co-ordinated Collections of Microorganisms (BCCM). Sequence analysis of the genetically modified production strain targeting the ITS and 18S genes confirmed the strain as </w:t>
      </w:r>
      <w:r w:rsidRPr="00F00458">
        <w:rPr>
          <w:i/>
        </w:rPr>
        <w:t>A. oryzae</w:t>
      </w:r>
      <w:r>
        <w:t>.</w:t>
      </w:r>
    </w:p>
    <w:p w14:paraId="702F4322" w14:textId="2C2B1E7B" w:rsidR="00CA3849" w:rsidRDefault="00CA3849" w:rsidP="003D1FD4">
      <w:pPr>
        <w:pStyle w:val="Heading3"/>
      </w:pPr>
      <w:bookmarkStart w:id="66" w:name="_Toc16848715"/>
      <w:r>
        <w:t>3.</w:t>
      </w:r>
      <w:r w:rsidR="00A07714">
        <w:t>1</w:t>
      </w:r>
      <w:r>
        <w:t>.2</w:t>
      </w:r>
      <w:r w:rsidR="0035149D">
        <w:tab/>
      </w:r>
      <w:r>
        <w:t>Gene donor organisms</w:t>
      </w:r>
      <w:bookmarkEnd w:id="62"/>
      <w:bookmarkEnd w:id="63"/>
      <w:bookmarkEnd w:id="64"/>
      <w:bookmarkEnd w:id="65"/>
      <w:bookmarkEnd w:id="66"/>
      <w:r>
        <w:t xml:space="preserve"> </w:t>
      </w:r>
    </w:p>
    <w:p w14:paraId="0D3D2E3A" w14:textId="25802B2C" w:rsidR="0070258F" w:rsidRDefault="0070258F" w:rsidP="0070258F">
      <w:pPr>
        <w:rPr>
          <w:i/>
          <w:lang w:eastAsia="en-AU" w:bidi="ar-SA"/>
        </w:rPr>
      </w:pPr>
      <w:r w:rsidRPr="0070258F">
        <w:rPr>
          <w:i/>
          <w:lang w:eastAsia="en-AU" w:bidi="ar-SA"/>
        </w:rPr>
        <w:t>Aspergillus ficuum</w:t>
      </w:r>
      <w:r w:rsidR="00F244E7" w:rsidRPr="00F244E7">
        <w:rPr>
          <w:rFonts w:cs="Arial"/>
          <w:color w:val="000000" w:themeColor="text1"/>
        </w:rPr>
        <w:t xml:space="preserve"> </w:t>
      </w:r>
      <w:r w:rsidR="00F244E7">
        <w:rPr>
          <w:rFonts w:cs="Arial"/>
          <w:color w:val="000000" w:themeColor="text1"/>
        </w:rPr>
        <w:t>is classified as a biosafety level 1 organism</w:t>
      </w:r>
      <w:r w:rsidR="001C2F88">
        <w:rPr>
          <w:rFonts w:cs="Arial"/>
          <w:color w:val="000000" w:themeColor="text1"/>
        </w:rPr>
        <w:t>. Although not commonly used for the production of food components, it has been used for the industrial production of enzymes used in animal feed such as phytase (Bogar et al, 2003), without adverse effects.</w:t>
      </w:r>
    </w:p>
    <w:p w14:paraId="3E31D764" w14:textId="5AB6C3C0" w:rsidR="00656078" w:rsidRDefault="00656078" w:rsidP="0070258F">
      <w:pPr>
        <w:rPr>
          <w:i/>
          <w:lang w:eastAsia="en-AU" w:bidi="ar-SA"/>
        </w:rPr>
      </w:pPr>
    </w:p>
    <w:p w14:paraId="308079F6" w14:textId="6D543163" w:rsidR="00656078" w:rsidRPr="0070258F" w:rsidRDefault="00656078" w:rsidP="0070258F">
      <w:pPr>
        <w:rPr>
          <w:i/>
          <w:lang w:eastAsia="en-AU" w:bidi="ar-SA"/>
        </w:rPr>
      </w:pPr>
      <w:r w:rsidRPr="0070258F">
        <w:rPr>
          <w:i/>
          <w:lang w:eastAsia="en-AU" w:bidi="ar-SA"/>
        </w:rPr>
        <w:t>Aspergillus</w:t>
      </w:r>
      <w:r>
        <w:rPr>
          <w:i/>
          <w:lang w:eastAsia="en-AU" w:bidi="ar-SA"/>
        </w:rPr>
        <w:t xml:space="preserve"> nidulans</w:t>
      </w:r>
      <w:r w:rsidR="00606F73">
        <w:rPr>
          <w:i/>
          <w:lang w:eastAsia="en-AU" w:bidi="ar-SA"/>
        </w:rPr>
        <w:t xml:space="preserve"> </w:t>
      </w:r>
      <w:r w:rsidR="00606F73">
        <w:rPr>
          <w:rFonts w:cs="Arial"/>
          <w:color w:val="000000" w:themeColor="text1"/>
        </w:rPr>
        <w:t xml:space="preserve">is classified as </w:t>
      </w:r>
      <w:r w:rsidR="00F244E7">
        <w:rPr>
          <w:rFonts w:cs="Arial"/>
          <w:color w:val="000000" w:themeColor="text1"/>
        </w:rPr>
        <w:t xml:space="preserve">a </w:t>
      </w:r>
      <w:r w:rsidR="00606F73">
        <w:rPr>
          <w:rFonts w:cs="Arial"/>
          <w:color w:val="000000" w:themeColor="text1"/>
        </w:rPr>
        <w:t xml:space="preserve">biosafety level 1 organism, however some strains have been associated with opportunistic infections in immunocompromised individuals (Gabrielli et al, 2014; Sadarangani et al, 2015). As the gene sequence has been manipulated through standard DNA cloning methods subsequent to the original isolation from the donor organism, extraneous material from </w:t>
      </w:r>
      <w:r w:rsidR="00606F73" w:rsidRPr="008156E7">
        <w:rPr>
          <w:rFonts w:cs="Arial"/>
          <w:i/>
          <w:color w:val="000000" w:themeColor="text1"/>
        </w:rPr>
        <w:t>A. nidulans</w:t>
      </w:r>
      <w:r w:rsidR="00606F73">
        <w:rPr>
          <w:rFonts w:cs="Arial"/>
          <w:color w:val="000000" w:themeColor="text1"/>
        </w:rPr>
        <w:t xml:space="preserve"> would not be carried across to the enzyme production organism.</w:t>
      </w:r>
    </w:p>
    <w:p w14:paraId="59709545" w14:textId="1AFF5A7A" w:rsidR="00CA3849" w:rsidRPr="00D67005" w:rsidRDefault="00CA3849" w:rsidP="001E6A7B">
      <w:pPr>
        <w:pStyle w:val="Heading2"/>
      </w:pPr>
      <w:bookmarkStart w:id="67" w:name="_Toc499282443"/>
      <w:bookmarkStart w:id="68" w:name="_Toc505255640"/>
      <w:bookmarkStart w:id="69" w:name="_Toc536543999"/>
      <w:bookmarkStart w:id="70" w:name="_Toc536607134"/>
      <w:bookmarkStart w:id="71" w:name="_Toc16848716"/>
      <w:r>
        <w:t>3.</w:t>
      </w:r>
      <w:r w:rsidR="00A07714">
        <w:t>2</w:t>
      </w:r>
      <w:r w:rsidR="001E6A7B">
        <w:tab/>
      </w:r>
      <w:r>
        <w:t>Characterisation of the genetic modification(s)</w:t>
      </w:r>
      <w:bookmarkEnd w:id="67"/>
      <w:bookmarkEnd w:id="68"/>
      <w:bookmarkEnd w:id="69"/>
      <w:bookmarkEnd w:id="70"/>
      <w:bookmarkEnd w:id="71"/>
    </w:p>
    <w:p w14:paraId="35090066" w14:textId="3D5FF42D" w:rsidR="00223358" w:rsidRDefault="00223358" w:rsidP="003D1FD4">
      <w:pPr>
        <w:pStyle w:val="Heading3"/>
      </w:pPr>
      <w:bookmarkStart w:id="72" w:name="_Toc536544000"/>
      <w:bookmarkStart w:id="73" w:name="_Toc536607135"/>
      <w:bookmarkStart w:id="74" w:name="_Toc16848717"/>
      <w:bookmarkStart w:id="75" w:name="_Toc471740086"/>
      <w:bookmarkStart w:id="76" w:name="_Toc505255641"/>
      <w:bookmarkStart w:id="77" w:name="_Toc499282447"/>
      <w:r>
        <w:t>3.2.1</w:t>
      </w:r>
      <w:r w:rsidR="00AD28CF">
        <w:tab/>
      </w:r>
      <w:r>
        <w:t>Description of DNA to be introduced and method of transformation</w:t>
      </w:r>
      <w:bookmarkEnd w:id="72"/>
      <w:bookmarkEnd w:id="73"/>
      <w:bookmarkEnd w:id="74"/>
    </w:p>
    <w:p w14:paraId="48039DC9" w14:textId="305A2354" w:rsidR="00656078" w:rsidRDefault="00C30EFF" w:rsidP="00BF446A">
      <w:pPr>
        <w:rPr>
          <w:rFonts w:cs="Arial"/>
          <w:color w:val="000000" w:themeColor="text1"/>
        </w:rPr>
      </w:pPr>
      <w:r>
        <w:rPr>
          <w:rFonts w:cs="Arial"/>
          <w:color w:val="000000" w:themeColor="text1"/>
        </w:rPr>
        <w:t>The endo-inulinase gene</w:t>
      </w:r>
      <w:r w:rsidR="007B2B44">
        <w:rPr>
          <w:rFonts w:cs="Arial"/>
          <w:color w:val="000000" w:themeColor="text1"/>
        </w:rPr>
        <w:t xml:space="preserve"> and terminator sequence</w:t>
      </w:r>
      <w:r>
        <w:rPr>
          <w:rFonts w:cs="Arial"/>
          <w:color w:val="000000" w:themeColor="text1"/>
        </w:rPr>
        <w:t xml:space="preserve"> was isolated from </w:t>
      </w:r>
      <w:r w:rsidRPr="00C30EFF">
        <w:rPr>
          <w:rFonts w:cs="Arial"/>
          <w:i/>
          <w:color w:val="000000" w:themeColor="text1"/>
        </w:rPr>
        <w:t>A. ficuum</w:t>
      </w:r>
      <w:r>
        <w:rPr>
          <w:rFonts w:cs="Arial"/>
          <w:color w:val="000000" w:themeColor="text1"/>
        </w:rPr>
        <w:t xml:space="preserve"> </w:t>
      </w:r>
      <w:r>
        <w:rPr>
          <w:lang w:eastAsia="en-AU" w:bidi="ar-SA"/>
        </w:rPr>
        <w:t xml:space="preserve">by targeted amplification of genomic DNA. The </w:t>
      </w:r>
      <w:r w:rsidR="00524530">
        <w:rPr>
          <w:lang w:eastAsia="en-AU" w:bidi="ar-SA"/>
        </w:rPr>
        <w:t xml:space="preserve">amplification </w:t>
      </w:r>
      <w:r>
        <w:rPr>
          <w:lang w:eastAsia="en-AU" w:bidi="ar-SA"/>
        </w:rPr>
        <w:t xml:space="preserve">primers used </w:t>
      </w:r>
      <w:r w:rsidR="007B2B44">
        <w:rPr>
          <w:lang w:eastAsia="en-AU" w:bidi="ar-SA"/>
        </w:rPr>
        <w:t>allowed modification of</w:t>
      </w:r>
      <w:r>
        <w:rPr>
          <w:lang w:eastAsia="en-AU" w:bidi="ar-SA"/>
        </w:rPr>
        <w:t xml:space="preserve"> the existing signal peptide to a secretion signal peptide, at the amino-terminus. This signal peptide is removed during </w:t>
      </w:r>
      <w:r w:rsidR="00524530">
        <w:rPr>
          <w:lang w:eastAsia="en-AU" w:bidi="ar-SA"/>
        </w:rPr>
        <w:t xml:space="preserve">intracellular </w:t>
      </w:r>
      <w:r>
        <w:rPr>
          <w:lang w:eastAsia="en-AU" w:bidi="ar-SA"/>
        </w:rPr>
        <w:t xml:space="preserve">processing and is not present in the </w:t>
      </w:r>
      <w:r w:rsidR="00B14420">
        <w:rPr>
          <w:lang w:eastAsia="en-AU" w:bidi="ar-SA"/>
        </w:rPr>
        <w:t xml:space="preserve">mature </w:t>
      </w:r>
      <w:r>
        <w:rPr>
          <w:lang w:eastAsia="en-AU" w:bidi="ar-SA"/>
        </w:rPr>
        <w:t>product</w:t>
      </w:r>
      <w:r w:rsidR="00B14420">
        <w:rPr>
          <w:lang w:eastAsia="en-AU" w:bidi="ar-SA"/>
        </w:rPr>
        <w:t xml:space="preserve"> secreted from the production strain</w:t>
      </w:r>
      <w:r>
        <w:rPr>
          <w:lang w:eastAsia="en-AU" w:bidi="ar-SA"/>
        </w:rPr>
        <w:t>.</w:t>
      </w:r>
      <w:r w:rsidR="007B2B44">
        <w:rPr>
          <w:lang w:eastAsia="en-AU" w:bidi="ar-SA"/>
        </w:rPr>
        <w:t xml:space="preserve"> </w:t>
      </w:r>
      <w:r w:rsidR="00D374F7">
        <w:rPr>
          <w:rFonts w:cs="Arial"/>
          <w:color w:val="000000" w:themeColor="text1"/>
        </w:rPr>
        <w:t>An</w:t>
      </w:r>
      <w:r w:rsidR="00656078">
        <w:rPr>
          <w:rFonts w:cs="Arial"/>
          <w:color w:val="000000" w:themeColor="text1"/>
        </w:rPr>
        <w:t xml:space="preserve"> expression </w:t>
      </w:r>
      <w:r w:rsidR="00D374F7">
        <w:rPr>
          <w:rFonts w:cs="Arial"/>
          <w:color w:val="000000" w:themeColor="text1"/>
        </w:rPr>
        <w:t>plasmid</w:t>
      </w:r>
      <w:r w:rsidR="00656078">
        <w:rPr>
          <w:rFonts w:cs="Arial"/>
          <w:color w:val="000000" w:themeColor="text1"/>
        </w:rPr>
        <w:t xml:space="preserve"> was then </w:t>
      </w:r>
      <w:r w:rsidR="00093A1A">
        <w:rPr>
          <w:rFonts w:cs="Arial"/>
          <w:color w:val="000000" w:themeColor="text1"/>
        </w:rPr>
        <w:t xml:space="preserve">constructed </w:t>
      </w:r>
      <w:r w:rsidR="00D374F7">
        <w:rPr>
          <w:rFonts w:cs="Arial"/>
          <w:color w:val="000000" w:themeColor="text1"/>
        </w:rPr>
        <w:t>using</w:t>
      </w:r>
      <w:r w:rsidR="00656078">
        <w:rPr>
          <w:rFonts w:cs="Arial"/>
          <w:color w:val="000000" w:themeColor="text1"/>
        </w:rPr>
        <w:t xml:space="preserve"> a pBlueScriptSK</w:t>
      </w:r>
      <w:r w:rsidR="00656078" w:rsidRPr="009968C1">
        <w:rPr>
          <w:rFonts w:cs="Arial"/>
          <w:color w:val="000000" w:themeColor="text1"/>
        </w:rPr>
        <w:t xml:space="preserve"> </w:t>
      </w:r>
      <w:r w:rsidR="00D374F7">
        <w:rPr>
          <w:rFonts w:cs="Arial"/>
          <w:color w:val="000000" w:themeColor="text1"/>
        </w:rPr>
        <w:t>vector</w:t>
      </w:r>
      <w:r w:rsidR="00656078">
        <w:rPr>
          <w:rFonts w:cs="Arial"/>
          <w:color w:val="000000" w:themeColor="text1"/>
        </w:rPr>
        <w:t xml:space="preserve">, </w:t>
      </w:r>
      <w:r w:rsidR="00093A1A">
        <w:rPr>
          <w:rFonts w:cs="Arial"/>
          <w:color w:val="000000" w:themeColor="text1"/>
        </w:rPr>
        <w:t xml:space="preserve">with </w:t>
      </w:r>
      <w:r w:rsidR="00656078">
        <w:rPr>
          <w:rFonts w:cs="Arial"/>
          <w:color w:val="000000" w:themeColor="text1"/>
        </w:rPr>
        <w:t>the</w:t>
      </w:r>
      <w:r w:rsidR="007B2B44">
        <w:rPr>
          <w:rFonts w:cs="Arial"/>
          <w:color w:val="000000" w:themeColor="text1"/>
        </w:rPr>
        <w:t xml:space="preserve"> endo-inulinase</w:t>
      </w:r>
      <w:r w:rsidR="00BF446A" w:rsidRPr="009968C1">
        <w:rPr>
          <w:rFonts w:cs="Arial"/>
          <w:color w:val="000000" w:themeColor="text1"/>
        </w:rPr>
        <w:t xml:space="preserve"> </w:t>
      </w:r>
      <w:r w:rsidR="007B2B44">
        <w:rPr>
          <w:rFonts w:cs="Arial"/>
          <w:color w:val="000000" w:themeColor="text1"/>
        </w:rPr>
        <w:t xml:space="preserve">gene and terminator sequence </w:t>
      </w:r>
      <w:r w:rsidR="00093A1A">
        <w:rPr>
          <w:rFonts w:cs="Arial"/>
          <w:color w:val="000000" w:themeColor="text1"/>
        </w:rPr>
        <w:t>sitting behind</w:t>
      </w:r>
      <w:r w:rsidR="007B2B44">
        <w:rPr>
          <w:rFonts w:cs="Arial"/>
          <w:color w:val="000000" w:themeColor="text1"/>
        </w:rPr>
        <w:t xml:space="preserve"> a</w:t>
      </w:r>
      <w:r w:rsidR="00656078">
        <w:rPr>
          <w:rFonts w:cs="Arial"/>
          <w:color w:val="000000" w:themeColor="text1"/>
        </w:rPr>
        <w:t xml:space="preserve"> well characterised promoter sourced from</w:t>
      </w:r>
      <w:r w:rsidR="00BF446A" w:rsidRPr="009968C1">
        <w:rPr>
          <w:rFonts w:cs="Arial"/>
          <w:color w:val="000000" w:themeColor="text1"/>
        </w:rPr>
        <w:t xml:space="preserve"> </w:t>
      </w:r>
      <w:r w:rsidR="00BF446A" w:rsidRPr="009968C1">
        <w:rPr>
          <w:rFonts w:cs="Arial"/>
          <w:i/>
          <w:color w:val="000000" w:themeColor="text1"/>
        </w:rPr>
        <w:t>A. nidulans</w:t>
      </w:r>
      <w:r w:rsidR="007B2B44" w:rsidRPr="007B2B44">
        <w:rPr>
          <w:rFonts w:cs="Arial"/>
          <w:color w:val="000000" w:themeColor="text1"/>
        </w:rPr>
        <w:t>.</w:t>
      </w:r>
      <w:r w:rsidR="00BF446A" w:rsidRPr="009968C1">
        <w:rPr>
          <w:rFonts w:cs="Arial"/>
          <w:color w:val="000000" w:themeColor="text1"/>
        </w:rPr>
        <w:t xml:space="preserve"> </w:t>
      </w:r>
    </w:p>
    <w:p w14:paraId="52046513" w14:textId="77777777" w:rsidR="00656078" w:rsidRDefault="00656078" w:rsidP="00BF446A">
      <w:pPr>
        <w:rPr>
          <w:rFonts w:cs="Arial"/>
          <w:color w:val="000000" w:themeColor="text1"/>
        </w:rPr>
      </w:pPr>
    </w:p>
    <w:p w14:paraId="40D5CF94" w14:textId="5FA2943D" w:rsidR="00BF446A" w:rsidRPr="00844119" w:rsidRDefault="00BF446A" w:rsidP="00BF446A">
      <w:pPr>
        <w:rPr>
          <w:lang w:eastAsia="en-AU" w:bidi="ar-SA"/>
        </w:rPr>
      </w:pPr>
      <w:r w:rsidRPr="009968C1">
        <w:rPr>
          <w:rFonts w:cs="Arial"/>
          <w:color w:val="000000" w:themeColor="text1"/>
        </w:rPr>
        <w:t xml:space="preserve">A second plasmid </w:t>
      </w:r>
      <w:r w:rsidR="00656078">
        <w:rPr>
          <w:rFonts w:cs="Arial"/>
          <w:color w:val="000000" w:themeColor="text1"/>
        </w:rPr>
        <w:t xml:space="preserve">was generated </w:t>
      </w:r>
      <w:r w:rsidRPr="009968C1">
        <w:rPr>
          <w:rFonts w:cs="Arial"/>
          <w:color w:val="000000" w:themeColor="text1"/>
        </w:rPr>
        <w:t>contain</w:t>
      </w:r>
      <w:r w:rsidR="00656078">
        <w:rPr>
          <w:rFonts w:cs="Arial"/>
          <w:color w:val="000000" w:themeColor="text1"/>
        </w:rPr>
        <w:t>ing</w:t>
      </w:r>
      <w:r w:rsidRPr="009968C1">
        <w:rPr>
          <w:rFonts w:cs="Arial"/>
          <w:color w:val="000000" w:themeColor="text1"/>
        </w:rPr>
        <w:t xml:space="preserve"> the acetamidase gene (</w:t>
      </w:r>
      <w:r w:rsidRPr="009968C1">
        <w:rPr>
          <w:rFonts w:cs="Arial"/>
          <w:i/>
          <w:color w:val="000000" w:themeColor="text1"/>
        </w:rPr>
        <w:t>amdS)</w:t>
      </w:r>
      <w:r w:rsidRPr="009968C1">
        <w:rPr>
          <w:rFonts w:cs="Arial"/>
          <w:color w:val="000000" w:themeColor="text1"/>
        </w:rPr>
        <w:t xml:space="preserve"> from</w:t>
      </w:r>
      <w:r w:rsidRPr="009968C1">
        <w:rPr>
          <w:rFonts w:cs="Arial"/>
          <w:i/>
          <w:color w:val="000000" w:themeColor="text1"/>
        </w:rPr>
        <w:t xml:space="preserve"> A. nidulans </w:t>
      </w:r>
      <w:r w:rsidRPr="009968C1">
        <w:rPr>
          <w:rFonts w:cs="Arial"/>
          <w:color w:val="000000" w:themeColor="text1"/>
        </w:rPr>
        <w:t xml:space="preserve">(Kelly and Hynes, 1985). </w:t>
      </w:r>
      <w:r w:rsidRPr="00882100">
        <w:rPr>
          <w:rFonts w:cs="Arial"/>
          <w:color w:val="000000" w:themeColor="text1"/>
        </w:rPr>
        <w:t>Th</w:t>
      </w:r>
      <w:r w:rsidR="00AF0169">
        <w:rPr>
          <w:rFonts w:cs="Arial"/>
          <w:color w:val="000000" w:themeColor="text1"/>
        </w:rPr>
        <w:t xml:space="preserve">e </w:t>
      </w:r>
      <w:r w:rsidR="00AF0169" w:rsidRPr="00AF0169">
        <w:rPr>
          <w:rFonts w:cs="Arial"/>
          <w:i/>
          <w:color w:val="000000" w:themeColor="text1"/>
        </w:rPr>
        <w:t>amdS</w:t>
      </w:r>
      <w:r w:rsidRPr="00882100">
        <w:rPr>
          <w:rFonts w:cs="Arial"/>
          <w:color w:val="000000" w:themeColor="text1"/>
        </w:rPr>
        <w:t xml:space="preserve"> gene allows for selection of transformants on acetamide-containing media and has been widely used as a selection</w:t>
      </w:r>
      <w:r>
        <w:rPr>
          <w:rFonts w:cs="Arial"/>
          <w:color w:val="000000" w:themeColor="text1"/>
        </w:rPr>
        <w:t xml:space="preserve"> marker in fungal transformations</w:t>
      </w:r>
      <w:r>
        <w:rPr>
          <w:i/>
          <w:lang w:eastAsia="en-AU" w:bidi="ar-SA"/>
        </w:rPr>
        <w:t xml:space="preserve">. </w:t>
      </w:r>
      <w:r w:rsidR="003F601F">
        <w:rPr>
          <w:lang w:eastAsia="en-AU" w:bidi="ar-SA"/>
        </w:rPr>
        <w:t>The</w:t>
      </w:r>
      <w:r>
        <w:rPr>
          <w:lang w:eastAsia="en-AU" w:bidi="ar-SA"/>
        </w:rPr>
        <w:t xml:space="preserve"> inclusion </w:t>
      </w:r>
      <w:r w:rsidR="003F601F">
        <w:rPr>
          <w:lang w:eastAsia="en-AU" w:bidi="ar-SA"/>
        </w:rPr>
        <w:t xml:space="preserve">of this selection marker </w:t>
      </w:r>
      <w:r>
        <w:rPr>
          <w:lang w:eastAsia="en-AU" w:bidi="ar-SA"/>
        </w:rPr>
        <w:t>is standard</w:t>
      </w:r>
      <w:r w:rsidRPr="00C21A0F">
        <w:rPr>
          <w:lang w:eastAsia="en-AU" w:bidi="ar-SA"/>
        </w:rPr>
        <w:t xml:space="preserve"> in filamentous fungi </w:t>
      </w:r>
      <w:r>
        <w:rPr>
          <w:lang w:eastAsia="en-AU" w:bidi="ar-SA"/>
        </w:rPr>
        <w:t xml:space="preserve">systems </w:t>
      </w:r>
      <w:r w:rsidRPr="00C21A0F">
        <w:rPr>
          <w:lang w:eastAsia="en-AU" w:bidi="ar-SA"/>
        </w:rPr>
        <w:t xml:space="preserve">producing a variety of recombinant gene products (Gryshyna </w:t>
      </w:r>
      <w:r w:rsidRPr="00512606">
        <w:rPr>
          <w:rFonts w:eastAsia="TimesNewRomanPSMT" w:cs="Arial"/>
          <w:i/>
          <w:iCs/>
          <w:szCs w:val="22"/>
          <w:lang w:bidi="ar-SA"/>
        </w:rPr>
        <w:t>et al.</w:t>
      </w:r>
      <w:r w:rsidRPr="00512606">
        <w:rPr>
          <w:rFonts w:eastAsia="TimesNewRomanPSMT" w:cs="Arial"/>
          <w:i/>
          <w:szCs w:val="22"/>
          <w:lang w:bidi="ar-SA"/>
        </w:rPr>
        <w:t>,</w:t>
      </w:r>
      <w:r w:rsidRPr="00C21A0F">
        <w:rPr>
          <w:lang w:eastAsia="en-AU" w:bidi="ar-SA"/>
        </w:rPr>
        <w:t xml:space="preserve"> 2016)</w:t>
      </w:r>
      <w:r>
        <w:rPr>
          <w:lang w:eastAsia="en-AU" w:bidi="ar-SA"/>
        </w:rPr>
        <w:t xml:space="preserve"> and there are no safety concerns.</w:t>
      </w:r>
    </w:p>
    <w:p w14:paraId="65893AE7" w14:textId="77777777" w:rsidR="00BF446A" w:rsidRDefault="00BF446A" w:rsidP="00BF446A">
      <w:pPr>
        <w:spacing w:line="20" w:lineRule="atLeast"/>
        <w:rPr>
          <w:rFonts w:cs="Arial"/>
          <w:color w:val="000000" w:themeColor="text1"/>
        </w:rPr>
      </w:pPr>
    </w:p>
    <w:p w14:paraId="5CA59D76" w14:textId="699031CE" w:rsidR="00BF446A" w:rsidRPr="00855824" w:rsidRDefault="00BF446A" w:rsidP="00BF446A">
      <w:pPr>
        <w:spacing w:line="20" w:lineRule="atLeast"/>
        <w:rPr>
          <w:rFonts w:cs="Arial"/>
          <w:color w:val="000000" w:themeColor="text1"/>
        </w:rPr>
      </w:pPr>
      <w:r w:rsidRPr="009968C1">
        <w:rPr>
          <w:rFonts w:cs="Arial"/>
          <w:color w:val="000000" w:themeColor="text1"/>
        </w:rPr>
        <w:t xml:space="preserve">Both plasmids contain </w:t>
      </w:r>
      <w:r w:rsidR="00093A1A">
        <w:rPr>
          <w:rFonts w:cs="Arial"/>
          <w:color w:val="000000" w:themeColor="text1"/>
        </w:rPr>
        <w:t>an</w:t>
      </w:r>
      <w:r w:rsidRPr="009968C1">
        <w:rPr>
          <w:rFonts w:cs="Arial"/>
          <w:color w:val="000000" w:themeColor="text1"/>
        </w:rPr>
        <w:t xml:space="preserve"> </w:t>
      </w:r>
      <w:r w:rsidR="00656078">
        <w:rPr>
          <w:rFonts w:cs="Arial"/>
          <w:color w:val="000000" w:themeColor="text1"/>
        </w:rPr>
        <w:t>ampicillin</w:t>
      </w:r>
      <w:r w:rsidRPr="009968C1">
        <w:rPr>
          <w:rFonts w:cs="Arial"/>
          <w:color w:val="000000" w:themeColor="text1"/>
        </w:rPr>
        <w:t xml:space="preserve"> resistance gene to allow for selection</w:t>
      </w:r>
      <w:r w:rsidRPr="00855824">
        <w:rPr>
          <w:rFonts w:cs="Arial"/>
          <w:color w:val="000000" w:themeColor="text1"/>
        </w:rPr>
        <w:t xml:space="preserve"> </w:t>
      </w:r>
      <w:r w:rsidR="00656078">
        <w:rPr>
          <w:rFonts w:cs="Arial"/>
          <w:color w:val="000000" w:themeColor="text1"/>
        </w:rPr>
        <w:t xml:space="preserve">of </w:t>
      </w:r>
      <w:r w:rsidRPr="00855824">
        <w:rPr>
          <w:rFonts w:cs="Arial"/>
          <w:color w:val="000000" w:themeColor="text1"/>
        </w:rPr>
        <w:t xml:space="preserve">transformants during </w:t>
      </w:r>
      <w:r w:rsidR="00B14420">
        <w:rPr>
          <w:rFonts w:cs="Arial"/>
          <w:color w:val="000000" w:themeColor="text1"/>
        </w:rPr>
        <w:t>passaging in</w:t>
      </w:r>
      <w:r w:rsidR="00656078">
        <w:rPr>
          <w:rFonts w:cs="Arial"/>
          <w:color w:val="000000" w:themeColor="text1"/>
        </w:rPr>
        <w:t xml:space="preserve"> </w:t>
      </w:r>
      <w:r w:rsidR="00656078" w:rsidRPr="00855824">
        <w:rPr>
          <w:rFonts w:cs="Arial"/>
          <w:i/>
          <w:color w:val="000000" w:themeColor="text1"/>
        </w:rPr>
        <w:t>Escherichia coli</w:t>
      </w:r>
      <w:r w:rsidRPr="00855824">
        <w:rPr>
          <w:rFonts w:cs="Arial"/>
          <w:color w:val="000000" w:themeColor="text1"/>
        </w:rPr>
        <w:t xml:space="preserve">. </w:t>
      </w:r>
      <w:r w:rsidR="00656078">
        <w:rPr>
          <w:rFonts w:cs="Arial"/>
          <w:color w:val="000000" w:themeColor="text1"/>
        </w:rPr>
        <w:t>Expression of the</w:t>
      </w:r>
      <w:r w:rsidRPr="00855824">
        <w:rPr>
          <w:rFonts w:cs="Arial"/>
          <w:color w:val="000000" w:themeColor="text1"/>
        </w:rPr>
        <w:t xml:space="preserve"> </w:t>
      </w:r>
      <w:r w:rsidR="00656078">
        <w:rPr>
          <w:rFonts w:cs="Arial"/>
          <w:color w:val="000000" w:themeColor="text1"/>
        </w:rPr>
        <w:t xml:space="preserve">antibiotic </w:t>
      </w:r>
      <w:r w:rsidR="00163D9F">
        <w:rPr>
          <w:rFonts w:cs="Arial"/>
          <w:color w:val="000000" w:themeColor="text1"/>
        </w:rPr>
        <w:t xml:space="preserve">resistance </w:t>
      </w:r>
      <w:r w:rsidRPr="00855824">
        <w:rPr>
          <w:rFonts w:cs="Arial"/>
          <w:color w:val="000000" w:themeColor="text1"/>
        </w:rPr>
        <w:t xml:space="preserve">gene </w:t>
      </w:r>
      <w:r w:rsidR="00656078">
        <w:rPr>
          <w:rFonts w:cs="Arial"/>
          <w:color w:val="000000" w:themeColor="text1"/>
        </w:rPr>
        <w:t>is driven by a</w:t>
      </w:r>
      <w:r w:rsidRPr="00855824">
        <w:rPr>
          <w:rFonts w:cs="Arial"/>
          <w:color w:val="000000" w:themeColor="text1"/>
        </w:rPr>
        <w:t xml:space="preserve"> bacterial promoter that is not functional in fungal species.</w:t>
      </w:r>
    </w:p>
    <w:p w14:paraId="5896A722" w14:textId="77777777" w:rsidR="00BF446A" w:rsidRPr="00855824" w:rsidRDefault="00BF446A" w:rsidP="00BF446A">
      <w:pPr>
        <w:spacing w:line="20" w:lineRule="atLeast"/>
        <w:rPr>
          <w:rFonts w:cs="Arial"/>
          <w:color w:val="000000" w:themeColor="text1"/>
        </w:rPr>
      </w:pPr>
    </w:p>
    <w:p w14:paraId="2696B971" w14:textId="0EE87FCC" w:rsidR="00BF446A" w:rsidRPr="00855824" w:rsidRDefault="00093A1A" w:rsidP="00BF446A">
      <w:pPr>
        <w:spacing w:line="20" w:lineRule="atLeast"/>
        <w:rPr>
          <w:rFonts w:cs="Arial"/>
          <w:color w:val="000000" w:themeColor="text1"/>
        </w:rPr>
      </w:pPr>
      <w:r>
        <w:rPr>
          <w:rFonts w:cs="Arial"/>
          <w:color w:val="000000" w:themeColor="text1"/>
        </w:rPr>
        <w:lastRenderedPageBreak/>
        <w:t xml:space="preserve">The two plasmids were introduced into the </w:t>
      </w:r>
      <w:r w:rsidR="00B14420">
        <w:rPr>
          <w:rFonts w:cs="Arial"/>
          <w:color w:val="000000" w:themeColor="text1"/>
        </w:rPr>
        <w:t xml:space="preserve">filamentous fungal </w:t>
      </w:r>
      <w:r>
        <w:rPr>
          <w:rFonts w:cs="Arial"/>
          <w:color w:val="000000" w:themeColor="text1"/>
        </w:rPr>
        <w:t xml:space="preserve">host using </w:t>
      </w:r>
      <w:r w:rsidR="00ED3F02">
        <w:rPr>
          <w:rFonts w:cs="Arial"/>
          <w:color w:val="000000" w:themeColor="text1"/>
        </w:rPr>
        <w:t xml:space="preserve">a </w:t>
      </w:r>
      <w:r w:rsidR="00BF446A" w:rsidRPr="00855824">
        <w:rPr>
          <w:rFonts w:cs="Arial"/>
          <w:color w:val="000000" w:themeColor="text1"/>
        </w:rPr>
        <w:t>polyethylene glycol-mediated protoplasts</w:t>
      </w:r>
      <w:r w:rsidR="00BF446A">
        <w:rPr>
          <w:rFonts w:cs="Arial"/>
          <w:color w:val="000000" w:themeColor="text1"/>
        </w:rPr>
        <w:t xml:space="preserve"> </w:t>
      </w:r>
      <w:r>
        <w:rPr>
          <w:rFonts w:cs="Arial"/>
          <w:color w:val="000000" w:themeColor="text1"/>
        </w:rPr>
        <w:t>transformation method</w:t>
      </w:r>
      <w:r w:rsidR="00B14420">
        <w:rPr>
          <w:rFonts w:cs="Arial"/>
          <w:color w:val="000000" w:themeColor="text1"/>
        </w:rPr>
        <w:t>.</w:t>
      </w:r>
    </w:p>
    <w:p w14:paraId="6AD3CD2B" w14:textId="75F640AE" w:rsidR="00223358" w:rsidRDefault="00223358" w:rsidP="003D1FD4">
      <w:pPr>
        <w:pStyle w:val="Heading3"/>
      </w:pPr>
      <w:bookmarkStart w:id="78" w:name="_Toc536544001"/>
      <w:bookmarkStart w:id="79" w:name="_Toc536607136"/>
      <w:bookmarkStart w:id="80" w:name="_Toc16848718"/>
      <w:r w:rsidRPr="00BE6060">
        <w:t>3.</w:t>
      </w:r>
      <w:r w:rsidR="00AC71C7">
        <w:t>2</w:t>
      </w:r>
      <w:r w:rsidRPr="00BE6060">
        <w:t>.2</w:t>
      </w:r>
      <w:r w:rsidRPr="00BE6060">
        <w:tab/>
        <w:t xml:space="preserve">Characterisation of </w:t>
      </w:r>
      <w:r w:rsidR="00F92421">
        <w:t xml:space="preserve">the </w:t>
      </w:r>
      <w:r w:rsidRPr="00BE6060">
        <w:t>inserted DNA</w:t>
      </w:r>
      <w:bookmarkEnd w:id="78"/>
      <w:bookmarkEnd w:id="79"/>
      <w:bookmarkEnd w:id="80"/>
    </w:p>
    <w:p w14:paraId="37C88F44" w14:textId="36DE8F6E" w:rsidR="00BF446A" w:rsidRPr="00BF446A" w:rsidRDefault="00B14420" w:rsidP="00BF446A">
      <w:pPr>
        <w:rPr>
          <w:lang w:eastAsia="en-AU" w:bidi="ar-SA"/>
        </w:rPr>
      </w:pPr>
      <w:r w:rsidRPr="00D52D3B">
        <w:rPr>
          <w:rFonts w:cs="Arial"/>
          <w:color w:val="000000" w:themeColor="text1"/>
        </w:rPr>
        <w:t>Southern blotting</w:t>
      </w:r>
      <w:r w:rsidR="0010316B">
        <w:rPr>
          <w:rFonts w:cs="Arial"/>
          <w:color w:val="000000" w:themeColor="text1"/>
        </w:rPr>
        <w:t>,</w:t>
      </w:r>
      <w:r w:rsidRPr="00D52D3B">
        <w:rPr>
          <w:rFonts w:cs="Arial"/>
          <w:color w:val="000000" w:themeColor="text1"/>
        </w:rPr>
        <w:t xml:space="preserve"> </w:t>
      </w:r>
      <w:r w:rsidR="0010316B">
        <w:rPr>
          <w:rFonts w:cs="Arial"/>
          <w:color w:val="000000" w:themeColor="text1"/>
        </w:rPr>
        <w:t>using</w:t>
      </w:r>
      <w:r w:rsidR="0010316B" w:rsidRPr="00D52D3B">
        <w:rPr>
          <w:rFonts w:cs="Arial"/>
          <w:color w:val="000000" w:themeColor="text1"/>
        </w:rPr>
        <w:t xml:space="preserve"> a probe </w:t>
      </w:r>
      <w:r w:rsidR="0010316B">
        <w:rPr>
          <w:rFonts w:cs="Arial"/>
          <w:color w:val="000000" w:themeColor="text1"/>
        </w:rPr>
        <w:t>targeting the entire coding region of endo-inulinase gene,</w:t>
      </w:r>
      <w:r w:rsidR="0010316B">
        <w:rPr>
          <w:rFonts w:cs="Arial"/>
          <w:i/>
          <w:color w:val="000000" w:themeColor="text1"/>
        </w:rPr>
        <w:t xml:space="preserve"> </w:t>
      </w:r>
      <w:r w:rsidRPr="00D52D3B">
        <w:rPr>
          <w:rFonts w:cs="Arial"/>
          <w:color w:val="000000" w:themeColor="text1"/>
        </w:rPr>
        <w:t>was performed on</w:t>
      </w:r>
      <w:r>
        <w:rPr>
          <w:rFonts w:cs="Arial"/>
          <w:color w:val="000000" w:themeColor="text1"/>
        </w:rPr>
        <w:t xml:space="preserve"> genomic DNA extracted from the production strain (</w:t>
      </w:r>
      <w:r>
        <w:rPr>
          <w:lang w:eastAsia="en-AU" w:bidi="ar-SA"/>
        </w:rPr>
        <w:t xml:space="preserve">MUCL 44346) </w:t>
      </w:r>
      <w:r w:rsidRPr="00D52D3B">
        <w:rPr>
          <w:rFonts w:cs="Arial"/>
          <w:color w:val="000000" w:themeColor="text1"/>
        </w:rPr>
        <w:t xml:space="preserve">and </w:t>
      </w:r>
      <w:r>
        <w:rPr>
          <w:rFonts w:cs="Arial"/>
          <w:color w:val="000000" w:themeColor="text1"/>
        </w:rPr>
        <w:t>parental host strain</w:t>
      </w:r>
      <w:r w:rsidR="0010316B">
        <w:rPr>
          <w:rFonts w:cs="Arial"/>
          <w:color w:val="000000" w:themeColor="text1"/>
        </w:rPr>
        <w:t>. The results</w:t>
      </w:r>
      <w:r>
        <w:rPr>
          <w:rFonts w:cs="Arial"/>
          <w:i/>
          <w:color w:val="000000" w:themeColor="text1"/>
        </w:rPr>
        <w:t xml:space="preserve"> </w:t>
      </w:r>
      <w:r>
        <w:rPr>
          <w:rFonts w:cs="Arial"/>
          <w:color w:val="000000" w:themeColor="text1"/>
        </w:rPr>
        <w:t xml:space="preserve">showed </w:t>
      </w:r>
      <w:r w:rsidR="00D374F7">
        <w:rPr>
          <w:rFonts w:cs="Arial"/>
          <w:color w:val="000000" w:themeColor="text1"/>
        </w:rPr>
        <w:t xml:space="preserve">that a single copy of the enzyme plasmid is </w:t>
      </w:r>
      <w:r w:rsidR="00785016">
        <w:rPr>
          <w:rFonts w:cs="Arial"/>
          <w:color w:val="000000" w:themeColor="text1"/>
        </w:rPr>
        <w:t xml:space="preserve">integrated </w:t>
      </w:r>
      <w:r w:rsidR="00D374F7">
        <w:rPr>
          <w:rFonts w:cs="Arial"/>
          <w:color w:val="000000" w:themeColor="text1"/>
        </w:rPr>
        <w:t>in</w:t>
      </w:r>
      <w:r w:rsidR="00785016">
        <w:rPr>
          <w:rFonts w:cs="Arial"/>
          <w:color w:val="000000" w:themeColor="text1"/>
        </w:rPr>
        <w:t>to the genome of</w:t>
      </w:r>
      <w:r w:rsidR="00D374F7">
        <w:rPr>
          <w:rFonts w:cs="Arial"/>
          <w:color w:val="000000" w:themeColor="text1"/>
        </w:rPr>
        <w:t xml:space="preserve"> the production strain. H</w:t>
      </w:r>
      <w:r w:rsidR="00D374F7" w:rsidRPr="00D52D3B">
        <w:rPr>
          <w:rFonts w:cs="Arial"/>
          <w:color w:val="000000" w:themeColor="text1"/>
        </w:rPr>
        <w:t>ybridis</w:t>
      </w:r>
      <w:r w:rsidR="00D374F7">
        <w:rPr>
          <w:rFonts w:cs="Arial"/>
          <w:color w:val="000000" w:themeColor="text1"/>
        </w:rPr>
        <w:t>ation</w:t>
      </w:r>
      <w:r w:rsidR="00D374F7" w:rsidRPr="00D52D3B">
        <w:rPr>
          <w:rFonts w:cs="Arial"/>
          <w:color w:val="000000" w:themeColor="text1"/>
        </w:rPr>
        <w:t xml:space="preserve"> with a probe </w:t>
      </w:r>
      <w:r w:rsidR="00D374F7">
        <w:rPr>
          <w:rFonts w:cs="Arial"/>
          <w:color w:val="000000" w:themeColor="text1"/>
        </w:rPr>
        <w:t>targeting the ampicillin resistance gene</w:t>
      </w:r>
      <w:r w:rsidR="00D374F7">
        <w:rPr>
          <w:rFonts w:cs="Arial"/>
          <w:i/>
          <w:color w:val="000000" w:themeColor="text1"/>
        </w:rPr>
        <w:t xml:space="preserve"> </w:t>
      </w:r>
      <w:r w:rsidR="00785016">
        <w:rPr>
          <w:rFonts w:cs="Arial"/>
          <w:color w:val="000000" w:themeColor="text1"/>
        </w:rPr>
        <w:t xml:space="preserve">also confirmed the existence of </w:t>
      </w:r>
      <w:r w:rsidR="00D374F7">
        <w:rPr>
          <w:rFonts w:cs="Arial"/>
          <w:color w:val="000000" w:themeColor="text1"/>
        </w:rPr>
        <w:t>single cop</w:t>
      </w:r>
      <w:r w:rsidR="00785016">
        <w:rPr>
          <w:rFonts w:cs="Arial"/>
          <w:color w:val="000000" w:themeColor="text1"/>
        </w:rPr>
        <w:t>ies</w:t>
      </w:r>
      <w:r w:rsidR="00D374F7">
        <w:rPr>
          <w:rFonts w:cs="Arial"/>
          <w:color w:val="000000" w:themeColor="text1"/>
        </w:rPr>
        <w:t xml:space="preserve"> of </w:t>
      </w:r>
      <w:r w:rsidR="00785016">
        <w:rPr>
          <w:rFonts w:cs="Arial"/>
          <w:color w:val="000000" w:themeColor="text1"/>
        </w:rPr>
        <w:t xml:space="preserve">each </w:t>
      </w:r>
      <w:r w:rsidR="00D374F7">
        <w:rPr>
          <w:rFonts w:cs="Arial"/>
          <w:color w:val="000000" w:themeColor="text1"/>
        </w:rPr>
        <w:t>plasmid</w:t>
      </w:r>
      <w:r w:rsidR="00785016">
        <w:rPr>
          <w:rFonts w:cs="Arial"/>
          <w:color w:val="000000" w:themeColor="text1"/>
        </w:rPr>
        <w:t>.</w:t>
      </w:r>
      <w:r w:rsidR="00785016" w:rsidDel="00785016">
        <w:rPr>
          <w:rFonts w:cs="Arial"/>
          <w:color w:val="000000" w:themeColor="text1"/>
        </w:rPr>
        <w:t xml:space="preserve"> </w:t>
      </w:r>
    </w:p>
    <w:p w14:paraId="1FAB47A3" w14:textId="2302110B" w:rsidR="00223358" w:rsidRDefault="00223358" w:rsidP="003D1FD4">
      <w:pPr>
        <w:pStyle w:val="Heading3"/>
      </w:pPr>
      <w:bookmarkStart w:id="81" w:name="_Toc536544002"/>
      <w:bookmarkStart w:id="82" w:name="_Toc536607137"/>
      <w:bookmarkStart w:id="83" w:name="_Toc16848719"/>
      <w:r w:rsidRPr="0058182E">
        <w:t>3.2.3</w:t>
      </w:r>
      <w:r w:rsidR="00AD28CF">
        <w:tab/>
      </w:r>
      <w:bookmarkEnd w:id="81"/>
      <w:bookmarkEnd w:id="82"/>
      <w:r w:rsidR="00F92421" w:rsidRPr="00F92421">
        <w:t>Stability of the production organisms and inheritance of the introduced DNA</w:t>
      </w:r>
      <w:bookmarkEnd w:id="83"/>
    </w:p>
    <w:p w14:paraId="3F732F93" w14:textId="23D278EA" w:rsidR="00BF446A" w:rsidRPr="009F798E" w:rsidRDefault="00E87279" w:rsidP="00BF446A">
      <w:pPr>
        <w:rPr>
          <w:lang w:eastAsia="en-AU" w:bidi="ar-SA"/>
        </w:rPr>
      </w:pPr>
      <w:r>
        <w:rPr>
          <w:rFonts w:cs="Arial"/>
          <w:color w:val="000000" w:themeColor="text1"/>
        </w:rPr>
        <w:t xml:space="preserve">Polymerase chain reaction </w:t>
      </w:r>
      <w:r w:rsidR="00AF0169">
        <w:rPr>
          <w:rFonts w:cs="Arial"/>
          <w:color w:val="000000" w:themeColor="text1"/>
        </w:rPr>
        <w:t>(PCR) targeting the entire coding region of the</w:t>
      </w:r>
      <w:r w:rsidR="00AF0169" w:rsidRPr="008E3E47">
        <w:rPr>
          <w:rFonts w:cs="Arial"/>
          <w:color w:val="000000" w:themeColor="text1"/>
        </w:rPr>
        <w:t xml:space="preserve"> endo-inulinase </w:t>
      </w:r>
      <w:r w:rsidR="00AF0169">
        <w:rPr>
          <w:rFonts w:cs="Arial"/>
          <w:color w:val="000000" w:themeColor="text1"/>
        </w:rPr>
        <w:t xml:space="preserve">gene </w:t>
      </w:r>
      <w:r>
        <w:rPr>
          <w:rFonts w:cs="Arial"/>
          <w:color w:val="000000" w:themeColor="text1"/>
        </w:rPr>
        <w:t>was performed on genomic DNA</w:t>
      </w:r>
      <w:r w:rsidR="00BF446A" w:rsidRPr="008E3E47">
        <w:rPr>
          <w:rFonts w:cs="Arial"/>
          <w:color w:val="000000" w:themeColor="text1"/>
        </w:rPr>
        <w:t xml:space="preserve"> </w:t>
      </w:r>
      <w:r>
        <w:rPr>
          <w:rFonts w:cs="Arial"/>
          <w:color w:val="000000" w:themeColor="text1"/>
        </w:rPr>
        <w:t>extracted from the production strain (</w:t>
      </w:r>
      <w:r>
        <w:rPr>
          <w:lang w:eastAsia="en-AU" w:bidi="ar-SA"/>
        </w:rPr>
        <w:t>MUCL 44346)</w:t>
      </w:r>
      <w:r w:rsidR="00AF0169">
        <w:rPr>
          <w:lang w:eastAsia="en-AU" w:bidi="ar-SA"/>
        </w:rPr>
        <w:t xml:space="preserve">, </w:t>
      </w:r>
      <w:r w:rsidR="00AF0169">
        <w:rPr>
          <w:rFonts w:cs="Arial"/>
          <w:color w:val="000000" w:themeColor="text1"/>
        </w:rPr>
        <w:t>comparing an early isolate of the production strain with three separate cultures run for 10 days.</w:t>
      </w:r>
      <w:r>
        <w:rPr>
          <w:lang w:eastAsia="en-AU" w:bidi="ar-SA"/>
        </w:rPr>
        <w:t xml:space="preserve"> </w:t>
      </w:r>
      <w:r w:rsidR="00AF0169">
        <w:rPr>
          <w:lang w:eastAsia="en-AU" w:bidi="ar-SA"/>
        </w:rPr>
        <w:t xml:space="preserve">The parental host was used as a negative control </w:t>
      </w:r>
      <w:r>
        <w:rPr>
          <w:lang w:eastAsia="en-AU" w:bidi="ar-SA"/>
        </w:rPr>
        <w:t xml:space="preserve">and </w:t>
      </w:r>
      <w:r w:rsidR="00AF0169">
        <w:rPr>
          <w:rFonts w:cs="Arial"/>
          <w:color w:val="000000" w:themeColor="text1"/>
        </w:rPr>
        <w:t xml:space="preserve">the expression plasmid was used as a positive control </w:t>
      </w:r>
      <w:r w:rsidR="00AF0169">
        <w:rPr>
          <w:lang w:eastAsia="en-AU" w:bidi="ar-SA"/>
        </w:rPr>
        <w:t>for the PCR</w:t>
      </w:r>
      <w:r>
        <w:rPr>
          <w:rFonts w:cs="Arial"/>
          <w:color w:val="000000" w:themeColor="text1"/>
        </w:rPr>
        <w:t xml:space="preserve">. </w:t>
      </w:r>
      <w:r w:rsidR="00AF0169">
        <w:rPr>
          <w:rFonts w:cs="Arial"/>
          <w:color w:val="000000" w:themeColor="text1"/>
        </w:rPr>
        <w:t xml:space="preserve">The results confirmed presence of the gene across several generations, </w:t>
      </w:r>
      <w:r w:rsidR="00AF0169">
        <w:rPr>
          <w:lang w:eastAsia="en-AU" w:bidi="ar-SA"/>
        </w:rPr>
        <w:t>indicating the inserted DNA is genetically stable and inherited.</w:t>
      </w:r>
      <w:r>
        <w:rPr>
          <w:rFonts w:cs="Arial"/>
          <w:color w:val="000000" w:themeColor="text1"/>
        </w:rPr>
        <w:t xml:space="preserve"> </w:t>
      </w:r>
      <w:r w:rsidR="00BF446A" w:rsidRPr="008E3E47">
        <w:rPr>
          <w:rFonts w:cs="Arial"/>
          <w:color w:val="000000" w:themeColor="text1"/>
        </w:rPr>
        <w:t xml:space="preserve"> </w:t>
      </w:r>
    </w:p>
    <w:p w14:paraId="1BA9A72F" w14:textId="6F4F4DEB" w:rsidR="00BF446A" w:rsidRPr="00BF446A" w:rsidRDefault="00BF446A" w:rsidP="00BF446A">
      <w:pPr>
        <w:pStyle w:val="Heading4"/>
        <w:rPr>
          <w:i w:val="0"/>
          <w:color w:val="000000" w:themeColor="text1"/>
        </w:rPr>
      </w:pPr>
      <w:r w:rsidRPr="00BF446A">
        <w:rPr>
          <w:i w:val="0"/>
          <w:color w:val="000000" w:themeColor="text1"/>
        </w:rPr>
        <w:t>3.2.4</w:t>
      </w:r>
      <w:r w:rsidR="00F92421">
        <w:rPr>
          <w:i w:val="0"/>
          <w:color w:val="000000" w:themeColor="text1"/>
        </w:rPr>
        <w:t xml:space="preserve"> </w:t>
      </w:r>
      <w:r w:rsidRPr="00BF446A">
        <w:rPr>
          <w:i w:val="0"/>
          <w:color w:val="000000" w:themeColor="text1"/>
        </w:rPr>
        <w:t xml:space="preserve">Presence of recombinant DNA in the </w:t>
      </w:r>
      <w:r>
        <w:rPr>
          <w:i w:val="0"/>
          <w:color w:val="000000" w:themeColor="text1"/>
        </w:rPr>
        <w:t>enzyme product</w:t>
      </w:r>
    </w:p>
    <w:p w14:paraId="57C1740A" w14:textId="5675CDD8" w:rsidR="00BF446A" w:rsidRPr="00BF446A" w:rsidRDefault="00BF446A" w:rsidP="00BF446A">
      <w:pPr>
        <w:rPr>
          <w:rFonts w:cs="Arial"/>
          <w:color w:val="000000" w:themeColor="text1"/>
        </w:rPr>
      </w:pPr>
      <w:r>
        <w:rPr>
          <w:rFonts w:cs="Arial"/>
          <w:color w:val="000000" w:themeColor="text1"/>
        </w:rPr>
        <w:t xml:space="preserve">Three different batches of the enzyme product, prior to formulation, were tested for the presence of </w:t>
      </w:r>
      <w:r w:rsidRPr="004F334F">
        <w:rPr>
          <w:rFonts w:cs="Arial"/>
          <w:color w:val="000000" w:themeColor="text1"/>
        </w:rPr>
        <w:t xml:space="preserve">recombinant DNA </w:t>
      </w:r>
      <w:r w:rsidR="00F95CEB">
        <w:rPr>
          <w:rFonts w:cs="Arial"/>
          <w:color w:val="000000" w:themeColor="text1"/>
        </w:rPr>
        <w:t>from</w:t>
      </w:r>
      <w:r w:rsidRPr="004F334F">
        <w:rPr>
          <w:rFonts w:cs="Arial"/>
          <w:color w:val="000000" w:themeColor="text1"/>
        </w:rPr>
        <w:t xml:space="preserve"> MUCL 44346. Based on the verified limits of detection, no recombinant DNA was detected.</w:t>
      </w:r>
    </w:p>
    <w:p w14:paraId="25D696AF" w14:textId="01C55C4E" w:rsidR="00CA3849" w:rsidRDefault="00CA3849" w:rsidP="001E6A7B">
      <w:pPr>
        <w:pStyle w:val="Heading2"/>
      </w:pPr>
      <w:bookmarkStart w:id="84" w:name="_Toc536544003"/>
      <w:bookmarkStart w:id="85" w:name="_Toc536607138"/>
      <w:bookmarkStart w:id="86" w:name="_Toc16848720"/>
      <w:r w:rsidRPr="00DD6B6A">
        <w:t>3.</w:t>
      </w:r>
      <w:r w:rsidR="00A07714">
        <w:t>3</w:t>
      </w:r>
      <w:r w:rsidR="001E6A7B">
        <w:tab/>
      </w:r>
      <w:r>
        <w:t xml:space="preserve">Safety of </w:t>
      </w:r>
      <w:bookmarkEnd w:id="75"/>
      <w:bookmarkEnd w:id="76"/>
      <w:bookmarkEnd w:id="77"/>
      <w:bookmarkEnd w:id="84"/>
      <w:bookmarkEnd w:id="85"/>
      <w:r w:rsidR="004369E9">
        <w:t>endo-inulinase</w:t>
      </w:r>
      <w:bookmarkEnd w:id="86"/>
    </w:p>
    <w:p w14:paraId="1CC6BA13" w14:textId="611D6513" w:rsidR="00C15A6C" w:rsidRDefault="00C15A6C" w:rsidP="003D1FD4">
      <w:pPr>
        <w:pStyle w:val="Heading3"/>
      </w:pPr>
      <w:bookmarkStart w:id="87" w:name="_Toc536544004"/>
      <w:bookmarkStart w:id="88" w:name="_Toc536607139"/>
      <w:bookmarkStart w:id="89" w:name="_Toc16848721"/>
      <w:r w:rsidRPr="00C15A6C">
        <w:t>3.</w:t>
      </w:r>
      <w:r w:rsidR="00A07714">
        <w:t>3</w:t>
      </w:r>
      <w:r w:rsidRPr="00C15A6C">
        <w:t>.1</w:t>
      </w:r>
      <w:r w:rsidR="0035149D">
        <w:tab/>
      </w:r>
      <w:r w:rsidRPr="00C15A6C">
        <w:t>History of safe use</w:t>
      </w:r>
      <w:bookmarkEnd w:id="87"/>
      <w:bookmarkEnd w:id="88"/>
      <w:bookmarkEnd w:id="89"/>
    </w:p>
    <w:p w14:paraId="3A9DB0D8" w14:textId="6743D2BF" w:rsidR="00F92421" w:rsidRDefault="00CD7C1F" w:rsidP="00F92421">
      <w:pPr>
        <w:rPr>
          <w:lang w:eastAsia="en-AU" w:bidi="ar-SA"/>
        </w:rPr>
      </w:pPr>
      <w:r>
        <w:rPr>
          <w:lang w:eastAsia="en-AU" w:bidi="ar-SA"/>
        </w:rPr>
        <w:t xml:space="preserve">The enzyme </w:t>
      </w:r>
      <w:r w:rsidR="00AA79F0">
        <w:rPr>
          <w:lang w:eastAsia="en-AU" w:bidi="ar-SA"/>
        </w:rPr>
        <w:t xml:space="preserve">that is the subject of this application </w:t>
      </w:r>
      <w:r>
        <w:rPr>
          <w:lang w:eastAsia="en-AU" w:bidi="ar-SA"/>
        </w:rPr>
        <w:t xml:space="preserve">has been </w:t>
      </w:r>
      <w:r w:rsidR="00B84C26">
        <w:rPr>
          <w:lang w:eastAsia="en-AU" w:bidi="ar-SA"/>
        </w:rPr>
        <w:t xml:space="preserve">legally </w:t>
      </w:r>
      <w:r>
        <w:rPr>
          <w:lang w:eastAsia="en-AU" w:bidi="ar-SA"/>
        </w:rPr>
        <w:t xml:space="preserve">used in the European Union (EU), with no reports of adverse effects. </w:t>
      </w:r>
      <w:r w:rsidR="00B84C26">
        <w:rPr>
          <w:lang w:eastAsia="en-AU" w:bidi="ar-SA"/>
        </w:rPr>
        <w:t xml:space="preserve">It </w:t>
      </w:r>
      <w:r w:rsidR="00B84C26" w:rsidRPr="00B84C26">
        <w:rPr>
          <w:lang w:eastAsia="en-AU" w:bidi="ar-SA"/>
        </w:rPr>
        <w:t>has been submitted for evaluation to the Joint FAO/WHO Expert Committee on Food Additives (JECFA) and the European Food Safety Authority (EFSA).</w:t>
      </w:r>
    </w:p>
    <w:p w14:paraId="191599D7" w14:textId="63B8DB4E" w:rsidR="00CD7C1F" w:rsidRDefault="00CD7C1F" w:rsidP="00F92421">
      <w:pPr>
        <w:rPr>
          <w:lang w:eastAsia="en-AU" w:bidi="ar-SA"/>
        </w:rPr>
      </w:pPr>
    </w:p>
    <w:p w14:paraId="45C22E14" w14:textId="10E2386E" w:rsidR="00CD7C1F" w:rsidRPr="00F92421" w:rsidRDefault="00CD7C1F" w:rsidP="00F92421">
      <w:pPr>
        <w:rPr>
          <w:lang w:eastAsia="en-AU" w:bidi="ar-SA"/>
        </w:rPr>
      </w:pPr>
      <w:r>
        <w:rPr>
          <w:lang w:eastAsia="en-AU" w:bidi="ar-SA"/>
        </w:rPr>
        <w:t>FSANZ has previously approved an inulinase produced by</w:t>
      </w:r>
      <w:r w:rsidR="006D76CD">
        <w:rPr>
          <w:lang w:eastAsia="en-AU" w:bidi="ar-SA"/>
        </w:rPr>
        <w:t xml:space="preserve"> another fungus in the same genus as the production and donor organisms, </w:t>
      </w:r>
      <w:r w:rsidR="00FA68D6" w:rsidRPr="00CD7C1F">
        <w:rPr>
          <w:i/>
          <w:lang w:eastAsia="en-AU" w:bidi="ar-SA"/>
        </w:rPr>
        <w:t>A</w:t>
      </w:r>
      <w:r w:rsidR="00FA68D6">
        <w:rPr>
          <w:i/>
          <w:lang w:eastAsia="en-AU" w:bidi="ar-SA"/>
        </w:rPr>
        <w:t>.</w:t>
      </w:r>
      <w:r w:rsidR="00FA68D6" w:rsidRPr="00CD7C1F">
        <w:rPr>
          <w:i/>
          <w:lang w:eastAsia="en-AU" w:bidi="ar-SA"/>
        </w:rPr>
        <w:t xml:space="preserve"> </w:t>
      </w:r>
      <w:r w:rsidRPr="00CD7C1F">
        <w:rPr>
          <w:i/>
          <w:lang w:eastAsia="en-AU" w:bidi="ar-SA"/>
        </w:rPr>
        <w:t>niger</w:t>
      </w:r>
      <w:r>
        <w:rPr>
          <w:lang w:eastAsia="en-AU" w:bidi="ar-SA"/>
        </w:rPr>
        <w:t xml:space="preserve">, and permits 16 other enzymes produced by </w:t>
      </w:r>
      <w:r w:rsidR="00FA68D6" w:rsidRPr="00CD7C1F">
        <w:rPr>
          <w:i/>
          <w:lang w:eastAsia="en-AU" w:bidi="ar-SA"/>
        </w:rPr>
        <w:t>A</w:t>
      </w:r>
      <w:r w:rsidR="00FA68D6">
        <w:rPr>
          <w:i/>
          <w:lang w:eastAsia="en-AU" w:bidi="ar-SA"/>
        </w:rPr>
        <w:t>.</w:t>
      </w:r>
      <w:r w:rsidR="00FA68D6" w:rsidRPr="00CD7C1F">
        <w:rPr>
          <w:i/>
          <w:lang w:eastAsia="en-AU" w:bidi="ar-SA"/>
        </w:rPr>
        <w:t xml:space="preserve"> </w:t>
      </w:r>
      <w:r w:rsidRPr="00CD7C1F">
        <w:rPr>
          <w:i/>
          <w:lang w:eastAsia="en-AU" w:bidi="ar-SA"/>
        </w:rPr>
        <w:t>oryzae</w:t>
      </w:r>
      <w:r>
        <w:rPr>
          <w:lang w:eastAsia="en-AU" w:bidi="ar-SA"/>
        </w:rPr>
        <w:t xml:space="preserve"> for use as processing aids. </w:t>
      </w:r>
    </w:p>
    <w:p w14:paraId="25CBADAE" w14:textId="181A8BC7" w:rsidR="00F92421" w:rsidRDefault="00F92421" w:rsidP="003D1FD4">
      <w:pPr>
        <w:pStyle w:val="Heading3"/>
      </w:pPr>
      <w:bookmarkStart w:id="90" w:name="_Toc16848722"/>
      <w:r>
        <w:t>3.3.2</w:t>
      </w:r>
      <w:r>
        <w:tab/>
        <w:t>Bioinformatic assessment of enzyme toxicity</w:t>
      </w:r>
      <w:bookmarkEnd w:id="90"/>
    </w:p>
    <w:p w14:paraId="38C078A3" w14:textId="3F1133B4" w:rsidR="00F92421" w:rsidRPr="00F92421" w:rsidRDefault="00F92421" w:rsidP="00F92421">
      <w:pPr>
        <w:rPr>
          <w:lang w:eastAsia="en-AU" w:bidi="ar-SA"/>
        </w:rPr>
      </w:pPr>
      <w:r>
        <w:t xml:space="preserve">The applicant provided results </w:t>
      </w:r>
      <w:r w:rsidR="00E7044E">
        <w:t>of</w:t>
      </w:r>
      <w:r>
        <w:t xml:space="preserve"> an </w:t>
      </w:r>
      <w:r w:rsidRPr="00753233">
        <w:rPr>
          <w:i/>
        </w:rPr>
        <w:t>in silico</w:t>
      </w:r>
      <w:r w:rsidR="00202642">
        <w:t xml:space="preserve"> analysi</w:t>
      </w:r>
      <w:r>
        <w:t xml:space="preserve">s </w:t>
      </w:r>
      <w:r w:rsidR="00E9306A">
        <w:t xml:space="preserve">using the </w:t>
      </w:r>
      <w:hyperlink r:id="rId20" w:history="1">
        <w:r w:rsidR="00E9306A" w:rsidRPr="00E9306A">
          <w:rPr>
            <w:rStyle w:val="Hyperlink"/>
          </w:rPr>
          <w:t>NCBI protein database</w:t>
        </w:r>
      </w:hyperlink>
      <w:r w:rsidR="00E9306A">
        <w:rPr>
          <w:rStyle w:val="FootnoteReference"/>
        </w:rPr>
        <w:footnoteReference w:id="6"/>
      </w:r>
      <w:r w:rsidR="00E9306A">
        <w:t xml:space="preserve"> </w:t>
      </w:r>
      <w:r>
        <w:t xml:space="preserve">comparing </w:t>
      </w:r>
      <w:r w:rsidR="00753233">
        <w:t>endo-inulinase</w:t>
      </w:r>
      <w:r>
        <w:t xml:space="preserve"> to </w:t>
      </w:r>
      <w:r w:rsidR="00753233">
        <w:t xml:space="preserve">proteins associated with the keyword “toxin”. A BLAST search </w:t>
      </w:r>
      <w:r>
        <w:t>with a threshold E-value of 0.1</w:t>
      </w:r>
      <w:r w:rsidR="00753233">
        <w:t xml:space="preserve"> did not identify any similarity to known</w:t>
      </w:r>
      <w:r w:rsidR="00F64137">
        <w:t xml:space="preserve"> protein</w:t>
      </w:r>
      <w:r w:rsidR="00753233">
        <w:t xml:space="preserve"> toxins</w:t>
      </w:r>
      <w:r>
        <w:t>.</w:t>
      </w:r>
    </w:p>
    <w:p w14:paraId="4B319AB9" w14:textId="3AA36845" w:rsidR="00C15A6C" w:rsidRDefault="00A07714" w:rsidP="003D1FD4">
      <w:pPr>
        <w:pStyle w:val="Heading3"/>
      </w:pPr>
      <w:bookmarkStart w:id="91" w:name="_Toc536544005"/>
      <w:bookmarkStart w:id="92" w:name="_Toc536607140"/>
      <w:bookmarkStart w:id="93" w:name="_Toc16848723"/>
      <w:r>
        <w:t>3.3</w:t>
      </w:r>
      <w:r w:rsidR="00C15A6C">
        <w:t>.</w:t>
      </w:r>
      <w:r w:rsidR="00F92421">
        <w:t>3</w:t>
      </w:r>
      <w:r w:rsidR="0035149D">
        <w:tab/>
      </w:r>
      <w:r w:rsidR="00C15A6C">
        <w:t>Toxicology studies in animals</w:t>
      </w:r>
      <w:bookmarkEnd w:id="91"/>
      <w:bookmarkEnd w:id="92"/>
      <w:bookmarkEnd w:id="93"/>
    </w:p>
    <w:p w14:paraId="29E3FB88" w14:textId="0D7F7579" w:rsidR="00E7044E" w:rsidRDefault="00A6352E" w:rsidP="00E7044E">
      <w:pPr>
        <w:rPr>
          <w:lang w:eastAsia="en-AU" w:bidi="ar-SA"/>
        </w:rPr>
      </w:pPr>
      <w:r>
        <w:rPr>
          <w:lang w:eastAsia="en-AU" w:bidi="ar-SA"/>
        </w:rPr>
        <w:t xml:space="preserve">Reports of two oral gavage studies in rats were provided by the applicant. </w:t>
      </w:r>
      <w:r w:rsidR="00950BFE">
        <w:rPr>
          <w:lang w:eastAsia="en-AU" w:bidi="ar-SA"/>
        </w:rPr>
        <w:t xml:space="preserve">The first study, a two-week repeat-dose study, served as a dose-rangefinder for the second study, a </w:t>
      </w:r>
      <w:r w:rsidR="00BA3BBE">
        <w:rPr>
          <w:lang w:eastAsia="en-AU" w:bidi="ar-SA"/>
        </w:rPr>
        <w:t>13-week</w:t>
      </w:r>
      <w:r w:rsidR="00950BFE">
        <w:rPr>
          <w:lang w:eastAsia="en-AU" w:bidi="ar-SA"/>
        </w:rPr>
        <w:t xml:space="preserve"> repeat-do</w:t>
      </w:r>
      <w:r w:rsidR="00070CD2">
        <w:rPr>
          <w:lang w:eastAsia="en-AU" w:bidi="ar-SA"/>
        </w:rPr>
        <w:t>s</w:t>
      </w:r>
      <w:r w:rsidR="00950BFE">
        <w:rPr>
          <w:lang w:eastAsia="en-AU" w:bidi="ar-SA"/>
        </w:rPr>
        <w:t xml:space="preserve">e study. </w:t>
      </w:r>
      <w:r w:rsidR="00070CD2">
        <w:rPr>
          <w:lang w:eastAsia="en-AU" w:bidi="ar-SA"/>
        </w:rPr>
        <w:t xml:space="preserve">The test article for both studies was </w:t>
      </w:r>
      <w:r w:rsidR="009B420E">
        <w:rPr>
          <w:lang w:eastAsia="en-AU" w:bidi="ar-SA"/>
        </w:rPr>
        <w:t>the enzyme that is the subject of this application</w:t>
      </w:r>
      <w:r w:rsidR="00070CD2">
        <w:rPr>
          <w:i/>
          <w:lang w:eastAsia="en-AU" w:bidi="ar-SA"/>
        </w:rPr>
        <w:t xml:space="preserve">. </w:t>
      </w:r>
    </w:p>
    <w:p w14:paraId="0892BB18" w14:textId="56C41CE7" w:rsidR="00070CD2" w:rsidRDefault="00070CD2" w:rsidP="00E7044E">
      <w:pPr>
        <w:rPr>
          <w:lang w:eastAsia="en-AU" w:bidi="ar-SA"/>
        </w:rPr>
      </w:pPr>
    </w:p>
    <w:p w14:paraId="3C95A555" w14:textId="395B0284" w:rsidR="00070CD2" w:rsidRDefault="00070CD2" w:rsidP="00E7044E">
      <w:pPr>
        <w:rPr>
          <w:lang w:eastAsia="en-AU" w:bidi="ar-SA"/>
        </w:rPr>
      </w:pPr>
      <w:r w:rsidRPr="00070CD2">
        <w:rPr>
          <w:i/>
          <w:lang w:eastAsia="en-AU" w:bidi="ar-SA"/>
        </w:rPr>
        <w:t xml:space="preserve">Two-week </w:t>
      </w:r>
      <w:r w:rsidR="00BA3BBE">
        <w:rPr>
          <w:i/>
          <w:lang w:eastAsia="en-AU" w:bidi="ar-SA"/>
        </w:rPr>
        <w:t xml:space="preserve">repeat-dose </w:t>
      </w:r>
      <w:r w:rsidRPr="00070CD2">
        <w:rPr>
          <w:i/>
          <w:lang w:eastAsia="en-AU" w:bidi="ar-SA"/>
        </w:rPr>
        <w:t xml:space="preserve">oral gavage study in Sprague Dawley rats (CIT 2012). Regulatory </w:t>
      </w:r>
      <w:r w:rsidRPr="00070CD2">
        <w:rPr>
          <w:i/>
          <w:lang w:eastAsia="en-AU" w:bidi="ar-SA"/>
        </w:rPr>
        <w:lastRenderedPageBreak/>
        <w:t>status: Not</w:t>
      </w:r>
      <w:r>
        <w:rPr>
          <w:lang w:eastAsia="en-AU" w:bidi="ar-SA"/>
        </w:rPr>
        <w:t xml:space="preserve"> </w:t>
      </w:r>
      <w:r w:rsidRPr="00070CD2">
        <w:rPr>
          <w:i/>
          <w:lang w:eastAsia="en-AU" w:bidi="ar-SA"/>
        </w:rPr>
        <w:t>GLP</w:t>
      </w:r>
    </w:p>
    <w:p w14:paraId="1E63112D" w14:textId="7D832FE6" w:rsidR="00070CD2" w:rsidRDefault="00070CD2" w:rsidP="00E7044E">
      <w:pPr>
        <w:rPr>
          <w:lang w:eastAsia="en-AU" w:bidi="ar-SA"/>
        </w:rPr>
      </w:pPr>
    </w:p>
    <w:p w14:paraId="0819BE54" w14:textId="6DCA498B" w:rsidR="006E102A" w:rsidRDefault="00070CD2" w:rsidP="00E7044E">
      <w:pPr>
        <w:rPr>
          <w:lang w:eastAsia="en-AU" w:bidi="ar-SA"/>
        </w:rPr>
      </w:pPr>
      <w:r>
        <w:rPr>
          <w:lang w:eastAsia="en-AU" w:bidi="ar-SA"/>
        </w:rPr>
        <w:t>Sprague Da</w:t>
      </w:r>
      <w:r w:rsidR="000035E4">
        <w:rPr>
          <w:lang w:eastAsia="en-AU" w:bidi="ar-SA"/>
        </w:rPr>
        <w:t>w</w:t>
      </w:r>
      <w:r>
        <w:rPr>
          <w:lang w:eastAsia="en-AU" w:bidi="ar-SA"/>
        </w:rPr>
        <w:t>ley rats were acclimated to standard laboratory environmental conditions for 5 days prior to commencement of dosing. Rats were group-housed, 3/cage, in polycarbonate cages</w:t>
      </w:r>
      <w:r w:rsidR="000035E4">
        <w:rPr>
          <w:lang w:eastAsia="en-AU" w:bidi="ar-SA"/>
        </w:rPr>
        <w:t>, and had ad libitum access to standard rat food and to water.</w:t>
      </w:r>
      <w:r>
        <w:rPr>
          <w:lang w:eastAsia="en-AU" w:bidi="ar-SA"/>
        </w:rPr>
        <w:t xml:space="preserve"> Rats were assigned to groups, 3/sex/group, by a computerized stratification procedure</w:t>
      </w:r>
      <w:r w:rsidR="000035E4">
        <w:rPr>
          <w:lang w:eastAsia="en-AU" w:bidi="ar-SA"/>
        </w:rPr>
        <w:t>. Rats were 6 weeks old at the start of dosing. The negat</w:t>
      </w:r>
      <w:r w:rsidR="00C255D3">
        <w:rPr>
          <w:lang w:eastAsia="en-AU" w:bidi="ar-SA"/>
        </w:rPr>
        <w:t xml:space="preserve">ive control article was water. </w:t>
      </w:r>
      <w:r w:rsidR="000035E4">
        <w:rPr>
          <w:lang w:eastAsia="en-AU" w:bidi="ar-SA"/>
        </w:rPr>
        <w:t xml:space="preserve">Rats were dosed with 0, 2750, 11000 </w:t>
      </w:r>
      <w:r w:rsidR="00C255D3">
        <w:rPr>
          <w:lang w:eastAsia="en-AU" w:bidi="ar-SA"/>
        </w:rPr>
        <w:t>o</w:t>
      </w:r>
      <w:r w:rsidR="000035E4">
        <w:rPr>
          <w:lang w:eastAsia="en-AU" w:bidi="ar-SA"/>
        </w:rPr>
        <w:t xml:space="preserve">r 27500 UI/kg/day endo-inulinase by oral gavage, daily for 14 days, at a daily dose volume up to 10.58 mL. Rats were subject to twice-daily moribundity/mortality checks, a daily cageside clinical observation and a weekly detailed clinical observation. Bodyweights were recorded prior to Day 1, on Day 1 of dosing, and at least once weekly during the in-life phase. Food consumption was measured once weekly. </w:t>
      </w:r>
      <w:r w:rsidR="006E102A">
        <w:rPr>
          <w:lang w:eastAsia="en-AU" w:bidi="ar-SA"/>
        </w:rPr>
        <w:t>At the end of the dosing period</w:t>
      </w:r>
      <w:r w:rsidR="00C255D3">
        <w:rPr>
          <w:lang w:eastAsia="en-AU" w:bidi="ar-SA"/>
        </w:rPr>
        <w:t>,</w:t>
      </w:r>
      <w:r w:rsidR="006E102A">
        <w:rPr>
          <w:lang w:eastAsia="en-AU" w:bidi="ar-SA"/>
        </w:rPr>
        <w:t xml:space="preserve"> rats were fasted overnight, weighed, anesthetized with intraperitoneal sodium pentobarbital and exsanguinated. Fresh organ weights of brain, heart, kidneys, liver, lungs, spleen, thymus, gonads and, in the case of males, epididymides were recorded and all those organs, and also adrenal glands, were preserved, although no histopathology was performed.</w:t>
      </w:r>
    </w:p>
    <w:p w14:paraId="4C2FBD77" w14:textId="77777777" w:rsidR="006E102A" w:rsidRDefault="006E102A" w:rsidP="00E7044E">
      <w:pPr>
        <w:rPr>
          <w:lang w:eastAsia="en-AU" w:bidi="ar-SA"/>
        </w:rPr>
      </w:pPr>
    </w:p>
    <w:p w14:paraId="3A5A6D1A" w14:textId="2A94B9AF" w:rsidR="005D4A5D" w:rsidRDefault="006E102A" w:rsidP="00E7044E">
      <w:pPr>
        <w:rPr>
          <w:lang w:eastAsia="en-AU" w:bidi="ar-SA"/>
        </w:rPr>
      </w:pPr>
      <w:r>
        <w:rPr>
          <w:lang w:eastAsia="en-AU" w:bidi="ar-SA"/>
        </w:rPr>
        <w:t xml:space="preserve">All rats survived to scheduled termination and no abnormal clinical signs were observed. Treatment had no effect on </w:t>
      </w:r>
      <w:r w:rsidR="005D4A5D">
        <w:rPr>
          <w:lang w:eastAsia="en-AU" w:bidi="ar-SA"/>
        </w:rPr>
        <w:t xml:space="preserve">group mean values for food consumption, </w:t>
      </w:r>
      <w:r>
        <w:rPr>
          <w:lang w:eastAsia="en-AU" w:bidi="ar-SA"/>
        </w:rPr>
        <w:t>bodyweight</w:t>
      </w:r>
      <w:r w:rsidR="005D4A5D">
        <w:rPr>
          <w:lang w:eastAsia="en-AU" w:bidi="ar-SA"/>
        </w:rPr>
        <w:t xml:space="preserve">, </w:t>
      </w:r>
      <w:r>
        <w:rPr>
          <w:lang w:eastAsia="en-AU" w:bidi="ar-SA"/>
        </w:rPr>
        <w:t xml:space="preserve"> bodyweight change</w:t>
      </w:r>
      <w:r w:rsidR="005D4A5D">
        <w:rPr>
          <w:lang w:eastAsia="en-AU" w:bidi="ar-SA"/>
        </w:rPr>
        <w:t xml:space="preserve">, or absolute or relative organ weight. There were no gross findings </w:t>
      </w:r>
      <w:r w:rsidR="0070421A">
        <w:rPr>
          <w:lang w:eastAsia="en-AU" w:bidi="ar-SA"/>
        </w:rPr>
        <w:t xml:space="preserve">at </w:t>
      </w:r>
      <w:r w:rsidR="005D4A5D">
        <w:rPr>
          <w:lang w:eastAsia="en-AU" w:bidi="ar-SA"/>
        </w:rPr>
        <w:t xml:space="preserve">necropsy in any rat. </w:t>
      </w:r>
    </w:p>
    <w:p w14:paraId="09EADA82" w14:textId="77777777" w:rsidR="005D4A5D" w:rsidRDefault="005D4A5D" w:rsidP="00E7044E">
      <w:pPr>
        <w:rPr>
          <w:lang w:eastAsia="en-AU" w:bidi="ar-SA"/>
        </w:rPr>
      </w:pPr>
    </w:p>
    <w:p w14:paraId="2CD17E52" w14:textId="0DBC0793" w:rsidR="00070CD2" w:rsidRDefault="00BA3BBE" w:rsidP="00E7044E">
      <w:pPr>
        <w:rPr>
          <w:i/>
          <w:lang w:eastAsia="en-AU" w:bidi="ar-SA"/>
        </w:rPr>
      </w:pPr>
      <w:r w:rsidRPr="00BA3BBE">
        <w:rPr>
          <w:i/>
          <w:lang w:eastAsia="en-AU" w:bidi="ar-SA"/>
        </w:rPr>
        <w:t xml:space="preserve">13-week repeat-dose oral gavage study in Sprague Dawley rats (CIT 2014). Regulatory status: GLP; based on OECD Guideline 408. </w:t>
      </w:r>
    </w:p>
    <w:p w14:paraId="017B559E" w14:textId="092BF418" w:rsidR="00BA3BBE" w:rsidRDefault="00BA3BBE" w:rsidP="00E7044E">
      <w:pPr>
        <w:rPr>
          <w:i/>
          <w:lang w:eastAsia="en-AU" w:bidi="ar-SA"/>
        </w:rPr>
      </w:pPr>
    </w:p>
    <w:p w14:paraId="55DA3255" w14:textId="0BC002EB" w:rsidR="00FF3A82" w:rsidRDefault="00BA3BBE" w:rsidP="00E7044E">
      <w:pPr>
        <w:rPr>
          <w:lang w:eastAsia="en-AU" w:bidi="ar-SA"/>
        </w:rPr>
      </w:pPr>
      <w:r w:rsidRPr="00BA3BBE">
        <w:rPr>
          <w:lang w:eastAsia="en-AU" w:bidi="ar-SA"/>
        </w:rPr>
        <w:t>Sprague</w:t>
      </w:r>
      <w:r>
        <w:rPr>
          <w:lang w:eastAsia="en-AU" w:bidi="ar-SA"/>
        </w:rPr>
        <w:t xml:space="preserve"> Dawley rats were acclimatized to standard laboratory environmental conditions for 8 days prior to study start. Rats were pair-housed in polycarbonate cages and had </w:t>
      </w:r>
      <w:r w:rsidRPr="00951980">
        <w:rPr>
          <w:i/>
          <w:lang w:eastAsia="en-AU" w:bidi="ar-SA"/>
        </w:rPr>
        <w:t>ad libitum</w:t>
      </w:r>
      <w:r>
        <w:rPr>
          <w:lang w:eastAsia="en-AU" w:bidi="ar-SA"/>
        </w:rPr>
        <w:t xml:space="preserve"> access to </w:t>
      </w:r>
      <w:r w:rsidR="00951980">
        <w:rPr>
          <w:lang w:eastAsia="en-AU" w:bidi="ar-SA"/>
        </w:rPr>
        <w:t>standard rat maintenance diet and to filtered tap water. Rats were assigned to treatment groups, 10/sex/group, using a computerized stratification procedure. Target dose levels were 0, 2750, 110</w:t>
      </w:r>
      <w:r w:rsidR="008D34C3">
        <w:rPr>
          <w:lang w:eastAsia="en-AU" w:bidi="ar-SA"/>
        </w:rPr>
        <w:t>0</w:t>
      </w:r>
      <w:r w:rsidR="00951980">
        <w:rPr>
          <w:lang w:eastAsia="en-AU" w:bidi="ar-SA"/>
        </w:rPr>
        <w:t xml:space="preserve">0 and 27500 UI/kg bw/day endo-inulinase, in a dose volume up to 10.58 mL/kg bw/day, using water as the negative control article. However from Day 60, dose levels were 0, 3134, 12508 and 31285 UI/kg bw/day, because the test article was restocked from a more concentrated batch of enzyme. </w:t>
      </w:r>
      <w:r w:rsidR="00FF3A82">
        <w:rPr>
          <w:lang w:eastAsia="en-AU" w:bidi="ar-SA"/>
        </w:rPr>
        <w:t xml:space="preserve">Rats were administered the control article or test article by oral gavage, once daily for 91 days. </w:t>
      </w:r>
    </w:p>
    <w:p w14:paraId="1966819C" w14:textId="77777777" w:rsidR="00FF3A82" w:rsidRDefault="00FF3A82" w:rsidP="00E7044E">
      <w:pPr>
        <w:rPr>
          <w:lang w:eastAsia="en-AU" w:bidi="ar-SA"/>
        </w:rPr>
      </w:pPr>
    </w:p>
    <w:p w14:paraId="764004DF" w14:textId="2A6FCDC9" w:rsidR="00BA3BBE" w:rsidRDefault="00FF3A82" w:rsidP="00E7044E">
      <w:pPr>
        <w:rPr>
          <w:lang w:eastAsia="en-AU" w:bidi="ar-SA"/>
        </w:rPr>
      </w:pPr>
      <w:r>
        <w:rPr>
          <w:lang w:eastAsia="en-AU" w:bidi="ar-SA"/>
        </w:rPr>
        <w:t>Rats were subject to moribundity/</w:t>
      </w:r>
      <w:r w:rsidR="00373194">
        <w:rPr>
          <w:lang w:eastAsia="en-AU" w:bidi="ar-SA"/>
        </w:rPr>
        <w:t>mortality</w:t>
      </w:r>
      <w:r>
        <w:rPr>
          <w:lang w:eastAsia="en-AU" w:bidi="ar-SA"/>
        </w:rPr>
        <w:t xml:space="preserve"> checks twice daily, and a cageside observation once daily, throughout the treatment period. Detailed clinical observations were conducted prestudy and once weekly during the in-life phase. Body weights were recorded prestudy, on Day 1 of dosing and once weekly during the in-life phase, and food consumption was recorded weekly. An ophthalmological examination was conducted prestudy on all rats, and on the control and 27500 UI/kg bw/day rats during the final week of the in-life phase. </w:t>
      </w:r>
      <w:r w:rsidR="00217412">
        <w:rPr>
          <w:lang w:eastAsia="en-AU" w:bidi="ar-SA"/>
        </w:rPr>
        <w:t xml:space="preserve">During week 11, all rats were subject to a detailed examination in the </w:t>
      </w:r>
      <w:r w:rsidR="0070421A">
        <w:rPr>
          <w:lang w:eastAsia="en-AU" w:bidi="ar-SA"/>
        </w:rPr>
        <w:t xml:space="preserve">home </w:t>
      </w:r>
      <w:r w:rsidR="00217412">
        <w:rPr>
          <w:lang w:eastAsia="en-AU" w:bidi="ar-SA"/>
        </w:rPr>
        <w:t>cage, in</w:t>
      </w:r>
      <w:r w:rsidR="0070421A">
        <w:rPr>
          <w:lang w:eastAsia="en-AU" w:bidi="ar-SA"/>
        </w:rPr>
        <w:t>-</w:t>
      </w:r>
      <w:r w:rsidR="00217412">
        <w:rPr>
          <w:lang w:eastAsia="en-AU" w:bidi="ar-SA"/>
        </w:rPr>
        <w:t xml:space="preserve">hand and in a standard arena. This included recording forelimb grip strength, landing foot splay, rectal temperature and a number of reflexes and responses, and measurement of motor activity over a 60-minute period. At the end of the in-life phase, rats were fasted overnight with access to water, prior to blood collection for haematology, prothrombin time and clinical chemistry. Rats were then anesthetized with sodium pentobarbital and killed by exsanguination. Each rat was subject to a complete gross necropsy which included recording fresh weights of adrenals, brain, heart, kidneys, liver, spleen, thymus and gonads, as well as epididymides of males and uterus of females. A comprehensive list of tissues was fixed from each rat. </w:t>
      </w:r>
      <w:r w:rsidR="008D34C3">
        <w:rPr>
          <w:lang w:eastAsia="en-AU" w:bidi="ar-SA"/>
        </w:rPr>
        <w:t xml:space="preserve">All tissues from the control and 27500 UI/kg bw/day rats were examined microscopically, and </w:t>
      </w:r>
      <w:r w:rsidR="00F638D5">
        <w:rPr>
          <w:lang w:eastAsia="en-AU" w:bidi="ar-SA"/>
        </w:rPr>
        <w:t xml:space="preserve">histopathological examination </w:t>
      </w:r>
      <w:r w:rsidR="008D34C3">
        <w:rPr>
          <w:lang w:eastAsia="en-AU" w:bidi="ar-SA"/>
        </w:rPr>
        <w:t xml:space="preserve">was also </w:t>
      </w:r>
      <w:r w:rsidR="0070421A">
        <w:rPr>
          <w:lang w:eastAsia="en-AU" w:bidi="ar-SA"/>
        </w:rPr>
        <w:t xml:space="preserve">conducted </w:t>
      </w:r>
      <w:r w:rsidR="008D34C3">
        <w:rPr>
          <w:lang w:eastAsia="en-AU" w:bidi="ar-SA"/>
        </w:rPr>
        <w:t xml:space="preserve">on ovaries, uterus and vagina of females in the </w:t>
      </w:r>
      <w:r w:rsidR="0070421A">
        <w:rPr>
          <w:lang w:eastAsia="en-AU" w:bidi="ar-SA"/>
        </w:rPr>
        <w:t>other treatment</w:t>
      </w:r>
      <w:r w:rsidR="00F70A6C">
        <w:rPr>
          <w:lang w:eastAsia="en-AU" w:bidi="ar-SA"/>
        </w:rPr>
        <w:t xml:space="preserve"> groups</w:t>
      </w:r>
      <w:r w:rsidR="00F638D5">
        <w:rPr>
          <w:lang w:eastAsia="en-AU" w:bidi="ar-SA"/>
        </w:rPr>
        <w:t>, due to findings in the high-dose group</w:t>
      </w:r>
      <w:r w:rsidR="00F70A6C">
        <w:rPr>
          <w:lang w:eastAsia="en-AU" w:bidi="ar-SA"/>
        </w:rPr>
        <w:t xml:space="preserve">. </w:t>
      </w:r>
    </w:p>
    <w:p w14:paraId="5F05A7BF" w14:textId="06B8ED36" w:rsidR="00373194" w:rsidRDefault="00373194" w:rsidP="00E7044E">
      <w:pPr>
        <w:rPr>
          <w:lang w:eastAsia="en-AU" w:bidi="ar-SA"/>
        </w:rPr>
      </w:pPr>
    </w:p>
    <w:p w14:paraId="7F70D601" w14:textId="08EDF0BF" w:rsidR="00373194" w:rsidRDefault="00373194" w:rsidP="00E7044E">
      <w:pPr>
        <w:rPr>
          <w:lang w:eastAsia="en-AU" w:bidi="ar-SA"/>
        </w:rPr>
      </w:pPr>
      <w:r>
        <w:rPr>
          <w:lang w:eastAsia="en-AU" w:bidi="ar-SA"/>
        </w:rPr>
        <w:t xml:space="preserve">All rats survived to scheduled termination and there were no treatment-related clinical </w:t>
      </w:r>
      <w:r>
        <w:rPr>
          <w:lang w:eastAsia="en-AU" w:bidi="ar-SA"/>
        </w:rPr>
        <w:lastRenderedPageBreak/>
        <w:t xml:space="preserve">observations. Motor activity and performance on the Functional Observational Battery, both assessed in Week 11, showed no treatment-related effects. Treatment did not affect group mean values for body weight, body weight change, or food consumption, and no treatment-related effects on haematology, prothrombin time, clinical chemistry or ophthalmology were discovered. </w:t>
      </w:r>
    </w:p>
    <w:p w14:paraId="3D659A2C" w14:textId="18AC622B" w:rsidR="00F70A6C" w:rsidRDefault="00F70A6C" w:rsidP="00E7044E">
      <w:pPr>
        <w:rPr>
          <w:lang w:eastAsia="en-AU" w:bidi="ar-SA"/>
        </w:rPr>
      </w:pPr>
    </w:p>
    <w:p w14:paraId="283EB821" w14:textId="463D4F89" w:rsidR="00F70A6C" w:rsidRPr="00BA3BBE" w:rsidRDefault="00AD47D0" w:rsidP="00E7044E">
      <w:pPr>
        <w:rPr>
          <w:lang w:eastAsia="en-AU" w:bidi="ar-SA"/>
        </w:rPr>
      </w:pPr>
      <w:r>
        <w:rPr>
          <w:lang w:eastAsia="en-AU" w:bidi="ar-SA"/>
        </w:rPr>
        <w:t xml:space="preserve">There were no treatment-related gross lesions on necropsy. A statistically significant increase in mean absolute and relative liver weight was observed in 27500 UI/kg bw/day males, but not in females. There were no microscopic correlates and this finding was considered to be of doubtful toxicological relevance. </w:t>
      </w:r>
      <w:r w:rsidR="004726A3">
        <w:rPr>
          <w:lang w:eastAsia="en-AU" w:bidi="ar-SA"/>
        </w:rPr>
        <w:t xml:space="preserve">Incidence and severity of mucification of the vaginal epithelium was increased, relative to that of controls, in female rats treated with 27500 UI/kg bw/day. </w:t>
      </w:r>
      <w:r w:rsidR="00754BCB">
        <w:rPr>
          <w:lang w:eastAsia="en-AU" w:bidi="ar-SA"/>
        </w:rPr>
        <w:t>This was not considered to be an adverse effect. It was therefore concluded that the NOAEL was</w:t>
      </w:r>
      <w:r w:rsidR="00E72574">
        <w:rPr>
          <w:lang w:eastAsia="en-AU" w:bidi="ar-SA"/>
        </w:rPr>
        <w:t xml:space="preserve"> 27500 UI/kg bw/day, equivalent to 189.65 mg/kg bw/day T</w:t>
      </w:r>
      <w:r w:rsidR="0036039C">
        <w:rPr>
          <w:lang w:eastAsia="en-AU" w:bidi="ar-SA"/>
        </w:rPr>
        <w:t>otal Organic Solids (T</w:t>
      </w:r>
      <w:r w:rsidR="00E72574">
        <w:rPr>
          <w:lang w:eastAsia="en-AU" w:bidi="ar-SA"/>
        </w:rPr>
        <w:t>OS</w:t>
      </w:r>
      <w:r w:rsidR="0036039C">
        <w:rPr>
          <w:lang w:eastAsia="en-AU" w:bidi="ar-SA"/>
        </w:rPr>
        <w:t>)</w:t>
      </w:r>
      <w:r w:rsidR="00E72574">
        <w:rPr>
          <w:lang w:eastAsia="en-AU" w:bidi="ar-SA"/>
        </w:rPr>
        <w:t>.</w:t>
      </w:r>
      <w:r w:rsidR="00754BCB">
        <w:rPr>
          <w:lang w:eastAsia="en-AU" w:bidi="ar-SA"/>
        </w:rPr>
        <w:t xml:space="preserve"> </w:t>
      </w:r>
    </w:p>
    <w:p w14:paraId="16DC0996" w14:textId="407C58B7" w:rsidR="00C15A6C" w:rsidRDefault="00C15A6C" w:rsidP="003D1FD4">
      <w:pPr>
        <w:pStyle w:val="Heading3"/>
      </w:pPr>
      <w:bookmarkStart w:id="94" w:name="_Toc536544006"/>
      <w:bookmarkStart w:id="95" w:name="_Toc536607141"/>
      <w:bookmarkStart w:id="96" w:name="_Toc16848724"/>
      <w:r>
        <w:t>3.</w:t>
      </w:r>
      <w:r w:rsidR="00A07714">
        <w:t>3</w:t>
      </w:r>
      <w:r>
        <w:t>.</w:t>
      </w:r>
      <w:r w:rsidR="00F92421">
        <w:t>4</w:t>
      </w:r>
      <w:r w:rsidR="0035149D">
        <w:tab/>
      </w:r>
      <w:r>
        <w:t>Genotoxicity assays</w:t>
      </w:r>
      <w:bookmarkEnd w:id="94"/>
      <w:bookmarkEnd w:id="95"/>
      <w:bookmarkEnd w:id="96"/>
    </w:p>
    <w:p w14:paraId="7D644BBA" w14:textId="12427096" w:rsidR="00E7044E" w:rsidRDefault="00A6352E" w:rsidP="00E7044E">
      <w:pPr>
        <w:rPr>
          <w:lang w:eastAsia="en-AU" w:bidi="ar-SA"/>
        </w:rPr>
      </w:pPr>
      <w:r>
        <w:rPr>
          <w:lang w:eastAsia="en-AU" w:bidi="ar-SA"/>
        </w:rPr>
        <w:t xml:space="preserve">Reports of two genotoxicity studies, a bacterial reverse mutation assay (Ames test), and a chromosomal aberration study in mouse lymphocytes, were provided by the applicant. </w:t>
      </w:r>
    </w:p>
    <w:p w14:paraId="19E5DF65" w14:textId="4BDFFE23" w:rsidR="00A8617E" w:rsidRDefault="00A8617E" w:rsidP="00E7044E">
      <w:pPr>
        <w:rPr>
          <w:lang w:eastAsia="en-AU" w:bidi="ar-SA"/>
        </w:rPr>
      </w:pPr>
    </w:p>
    <w:p w14:paraId="6B256F30" w14:textId="2721F66D" w:rsidR="00A8617E" w:rsidRPr="00A8617E" w:rsidRDefault="00A8617E" w:rsidP="00E7044E">
      <w:pPr>
        <w:rPr>
          <w:i/>
          <w:lang w:eastAsia="en-AU" w:bidi="ar-SA"/>
        </w:rPr>
      </w:pPr>
      <w:r w:rsidRPr="00A8617E">
        <w:rPr>
          <w:i/>
          <w:lang w:eastAsia="en-AU" w:bidi="ar-SA"/>
        </w:rPr>
        <w:t xml:space="preserve">Bacterial reverse mutation assay (SafePharm 2003). Regulatory status: GLP; in compliance with OECD Guideline 471, Method B13/14 of Commission Directive 2000/32/EC ad the US-EPA (TSCA) OPPTS harmonised guidelines. </w:t>
      </w:r>
    </w:p>
    <w:p w14:paraId="5CF78D96" w14:textId="152C18AF" w:rsidR="00A8617E" w:rsidRDefault="00A8617E" w:rsidP="00E7044E">
      <w:pPr>
        <w:rPr>
          <w:lang w:eastAsia="en-AU" w:bidi="ar-SA"/>
        </w:rPr>
      </w:pPr>
    </w:p>
    <w:p w14:paraId="57BBAFEA" w14:textId="74924237" w:rsidR="00A8617E" w:rsidRDefault="00A8617E" w:rsidP="00E7044E">
      <w:pPr>
        <w:rPr>
          <w:lang w:eastAsia="en-AU" w:bidi="ar-SA"/>
        </w:rPr>
      </w:pPr>
      <w:r>
        <w:rPr>
          <w:lang w:eastAsia="en-AU" w:bidi="ar-SA"/>
        </w:rPr>
        <w:t xml:space="preserve">Test systems for this assay were </w:t>
      </w:r>
      <w:r w:rsidRPr="00A8617E">
        <w:rPr>
          <w:i/>
          <w:lang w:eastAsia="en-AU" w:bidi="ar-SA"/>
        </w:rPr>
        <w:t>Salmonella typhimurium</w:t>
      </w:r>
      <w:r>
        <w:rPr>
          <w:lang w:eastAsia="en-AU" w:bidi="ar-SA"/>
        </w:rPr>
        <w:t xml:space="preserve"> strains TA1535, TA102, TA100, TA1537 and TA98. The test article </w:t>
      </w:r>
      <w:r w:rsidR="00134F5B">
        <w:rPr>
          <w:lang w:eastAsia="en-AU" w:bidi="ar-SA"/>
        </w:rPr>
        <w:t xml:space="preserve">was the enzyme that is the subject of the current application. The solvent and negative control article was sterile distilled water. For assays conducted in the absence of S9 mix for metabolic activation, positive control articles were N-ethyl-N’-nitro-N-nitrosoguanidine for TA100 and TA1535, 9-aminoacridine for TA1537, Mitomycin C for TA102 and 4-nitroquinoline-1-oxide for TA98. For assays conducted in the presence of S9 mix, the positive control articles were benzo(a)pyrene for TA98, 1,8-dihydroxyanthraquinone for TA102, and 2-aminoanthracene for TA100, TA1535 and TA1537. </w:t>
      </w:r>
      <w:r w:rsidR="0079144B">
        <w:rPr>
          <w:lang w:eastAsia="en-AU" w:bidi="ar-SA"/>
        </w:rPr>
        <w:t>All</w:t>
      </w:r>
      <w:r w:rsidR="00311863">
        <w:rPr>
          <w:lang w:eastAsia="en-AU" w:bidi="ar-SA"/>
        </w:rPr>
        <w:t xml:space="preserve"> assays were conducted in triplicate using the plate incorporation method.</w:t>
      </w:r>
    </w:p>
    <w:p w14:paraId="5F621D12" w14:textId="68B7A0E6" w:rsidR="00311863" w:rsidRDefault="00311863" w:rsidP="00E7044E">
      <w:pPr>
        <w:rPr>
          <w:lang w:eastAsia="en-AU" w:bidi="ar-SA"/>
        </w:rPr>
      </w:pPr>
    </w:p>
    <w:p w14:paraId="376EE6DE" w14:textId="59C581D7" w:rsidR="0079144B" w:rsidRDefault="00311863" w:rsidP="00E7044E">
      <w:pPr>
        <w:rPr>
          <w:lang w:eastAsia="en-AU" w:bidi="ar-SA"/>
        </w:rPr>
      </w:pPr>
      <w:r>
        <w:rPr>
          <w:lang w:eastAsia="en-AU" w:bidi="ar-SA"/>
        </w:rPr>
        <w:t>Concentrations tested in the preliminary toxicity test</w:t>
      </w:r>
      <w:r w:rsidR="0079144B">
        <w:rPr>
          <w:lang w:eastAsia="en-AU" w:bidi="ar-SA"/>
        </w:rPr>
        <w:t>, which was conducted using TA100</w:t>
      </w:r>
      <w:r>
        <w:rPr>
          <w:lang w:eastAsia="en-AU" w:bidi="ar-SA"/>
        </w:rPr>
        <w:t xml:space="preserve"> were 0, 0.15, 0.5, 1.5, 5, 15, 50, 150, 500, 1500 and 5000 </w:t>
      </w:r>
      <w:r>
        <w:rPr>
          <w:rFonts w:cs="Arial"/>
          <w:lang w:eastAsia="en-AU" w:bidi="ar-SA"/>
        </w:rPr>
        <w:t>µ</w:t>
      </w:r>
      <w:r>
        <w:rPr>
          <w:lang w:eastAsia="en-AU" w:bidi="ar-SA"/>
        </w:rPr>
        <w:t xml:space="preserve">g/plate. For each plate, bacterial culture, top agar, test or control article, </w:t>
      </w:r>
      <w:r w:rsidR="0079144B">
        <w:rPr>
          <w:lang w:eastAsia="en-AU" w:bidi="ar-SA"/>
        </w:rPr>
        <w:t>and S9 mix or phosphate buffer were mixed and overlaid on sterile plates containing agar. Plates were incubated for approximately 48 hours at 37</w:t>
      </w:r>
      <w:r w:rsidR="0079144B">
        <w:rPr>
          <w:rFonts w:cs="Arial"/>
          <w:lang w:eastAsia="en-AU" w:bidi="ar-SA"/>
        </w:rPr>
        <w:t>°</w:t>
      </w:r>
      <w:r w:rsidR="0079144B">
        <w:rPr>
          <w:lang w:eastAsia="en-AU" w:bidi="ar-SA"/>
        </w:rPr>
        <w:t>C and then assessed for numbers of revertant colonies and examined for effects on the growth of the bacterial lawn. There was no evidence of toxicity to TA100.</w:t>
      </w:r>
    </w:p>
    <w:p w14:paraId="04526810" w14:textId="77777777" w:rsidR="0079144B" w:rsidRDefault="0079144B" w:rsidP="00E7044E">
      <w:pPr>
        <w:rPr>
          <w:lang w:eastAsia="en-AU" w:bidi="ar-SA"/>
        </w:rPr>
      </w:pPr>
    </w:p>
    <w:p w14:paraId="67A481E0" w14:textId="3C109B97" w:rsidR="00311863" w:rsidRDefault="0079144B" w:rsidP="00E7044E">
      <w:pPr>
        <w:rPr>
          <w:lang w:eastAsia="en-AU" w:bidi="ar-SA"/>
        </w:rPr>
      </w:pPr>
      <w:r>
        <w:rPr>
          <w:lang w:eastAsia="en-AU" w:bidi="ar-SA"/>
        </w:rPr>
        <w:t xml:space="preserve">The definitive mutation test, using all the bacterial test strains, was conducted twice using the same method, with test article concentrations of 50, 150, 500, 1500 and 5000 </w:t>
      </w:r>
      <w:r>
        <w:rPr>
          <w:rFonts w:cs="Arial"/>
          <w:lang w:eastAsia="en-AU" w:bidi="ar-SA"/>
        </w:rPr>
        <w:t>µ</w:t>
      </w:r>
      <w:r>
        <w:rPr>
          <w:lang w:eastAsia="en-AU" w:bidi="ar-SA"/>
        </w:rPr>
        <w:t xml:space="preserve">g/plate. There was no evidence of cytotoxicity and no significant increase in frequency of revertant colonies, compared to negative control plates, for any of the strains of </w:t>
      </w:r>
      <w:r w:rsidRPr="0079144B">
        <w:rPr>
          <w:i/>
          <w:lang w:eastAsia="en-AU" w:bidi="ar-SA"/>
        </w:rPr>
        <w:t>Salmonella</w:t>
      </w:r>
      <w:r>
        <w:rPr>
          <w:lang w:eastAsia="en-AU" w:bidi="ar-SA"/>
        </w:rPr>
        <w:t xml:space="preserve"> at any dose level of the test article, with or without metabolic activation. The positive control articles all induced the expected significant increases in numbers of revertant colonies, confirming the validity of the assay. It was concluded that the test article is not mutagenic under the conditions of this assay.  </w:t>
      </w:r>
    </w:p>
    <w:p w14:paraId="40CDC5A3" w14:textId="3AB79555" w:rsidR="00311863" w:rsidRDefault="00311863" w:rsidP="00E7044E">
      <w:pPr>
        <w:rPr>
          <w:lang w:eastAsia="en-AU" w:bidi="ar-SA"/>
        </w:rPr>
      </w:pPr>
    </w:p>
    <w:p w14:paraId="65209BC5" w14:textId="687A3413" w:rsidR="00311863" w:rsidRDefault="00B611FF" w:rsidP="00E7044E">
      <w:pPr>
        <w:rPr>
          <w:i/>
          <w:lang w:eastAsia="en-AU" w:bidi="ar-SA"/>
        </w:rPr>
      </w:pPr>
      <w:r>
        <w:rPr>
          <w:lang w:eastAsia="en-AU" w:bidi="ar-SA"/>
        </w:rPr>
        <w:t xml:space="preserve">In vitro </w:t>
      </w:r>
      <w:r w:rsidRPr="00B611FF">
        <w:rPr>
          <w:i/>
          <w:lang w:eastAsia="en-AU" w:bidi="ar-SA"/>
        </w:rPr>
        <w:t>micronucleus test in L5178Y TK</w:t>
      </w:r>
      <w:r w:rsidRPr="00B611FF">
        <w:rPr>
          <w:i/>
          <w:vertAlign w:val="superscript"/>
          <w:lang w:eastAsia="en-AU" w:bidi="ar-SA"/>
        </w:rPr>
        <w:t xml:space="preserve">+/- </w:t>
      </w:r>
      <w:r w:rsidRPr="00B611FF">
        <w:rPr>
          <w:i/>
          <w:lang w:eastAsia="en-AU" w:bidi="ar-SA"/>
        </w:rPr>
        <w:t xml:space="preserve">mouse lymphoma cells (CIT 2013). Regulatory status: GLP; in compliance with OECD guideline 487. </w:t>
      </w:r>
    </w:p>
    <w:p w14:paraId="332CA8F3" w14:textId="18D0EF81" w:rsidR="00B611FF" w:rsidRDefault="00B611FF" w:rsidP="00E7044E">
      <w:pPr>
        <w:rPr>
          <w:i/>
          <w:lang w:eastAsia="en-AU" w:bidi="ar-SA"/>
        </w:rPr>
      </w:pPr>
    </w:p>
    <w:p w14:paraId="2280ED40" w14:textId="7392886B" w:rsidR="00B611FF" w:rsidRDefault="001E0FC6" w:rsidP="00E7044E">
      <w:pPr>
        <w:rPr>
          <w:lang w:eastAsia="en-AU" w:bidi="ar-SA"/>
        </w:rPr>
      </w:pPr>
      <w:r>
        <w:rPr>
          <w:lang w:eastAsia="en-AU" w:bidi="ar-SA"/>
        </w:rPr>
        <w:t>The test article was the enzyme that is the subject of this application</w:t>
      </w:r>
      <w:r w:rsidR="00493373">
        <w:rPr>
          <w:i/>
          <w:lang w:eastAsia="en-AU" w:bidi="ar-SA"/>
        </w:rPr>
        <w:t>.</w:t>
      </w:r>
      <w:r w:rsidR="00493373">
        <w:rPr>
          <w:lang w:eastAsia="en-AU" w:bidi="ar-SA"/>
        </w:rPr>
        <w:t xml:space="preserve"> The vehicle and negative control article was sterile water for injection. For both short (3 hour) and long (24 </w:t>
      </w:r>
      <w:r w:rsidR="00493373">
        <w:rPr>
          <w:lang w:eastAsia="en-AU" w:bidi="ar-SA"/>
        </w:rPr>
        <w:lastRenderedPageBreak/>
        <w:t xml:space="preserve">hour) treatment assays in the absence of S9 mix, the positive controls were Mitomycin C as a clastogen and </w:t>
      </w:r>
      <w:r w:rsidR="004405C9">
        <w:rPr>
          <w:lang w:eastAsia="en-AU" w:bidi="ar-SA"/>
        </w:rPr>
        <w:t>c</w:t>
      </w:r>
      <w:r w:rsidR="00493373">
        <w:rPr>
          <w:lang w:eastAsia="en-AU" w:bidi="ar-SA"/>
        </w:rPr>
        <w:t xml:space="preserve">olchicine as an aneugen. For short treatment with S9 mix, the positive control article was cyclophosphamide as a clastogen.  A preliminary toxicity test was conducted with exposure for 3 hours with and without S9 mix, and for 24 hours without S9 mix. Test article concentrations were 10, 100, 500, 1000, 2500 and 5000 </w:t>
      </w:r>
      <w:r w:rsidR="00493373">
        <w:rPr>
          <w:rFonts w:cs="Arial"/>
          <w:lang w:eastAsia="en-AU" w:bidi="ar-SA"/>
        </w:rPr>
        <w:t>µ</w:t>
      </w:r>
      <w:r w:rsidR="00493373">
        <w:rPr>
          <w:lang w:eastAsia="en-AU" w:bidi="ar-SA"/>
        </w:rPr>
        <w:t xml:space="preserve">g/mL. No precipitation was observed in the culture medium at any dose level. </w:t>
      </w:r>
      <w:r w:rsidR="00567FE6">
        <w:rPr>
          <w:lang w:eastAsia="en-AU" w:bidi="ar-SA"/>
        </w:rPr>
        <w:t xml:space="preserve">There was no clear evidence of dose-related cytotoxicity. Accordingly, test article concentrations for two mutagenicity experiments, with or without S9 mix, were 156.3, 312.5, 625, 1250, 2500 and 5000 </w:t>
      </w:r>
      <w:r w:rsidR="00567FE6">
        <w:rPr>
          <w:rFonts w:cs="Arial"/>
          <w:lang w:eastAsia="en-AU" w:bidi="ar-SA"/>
        </w:rPr>
        <w:t>µ</w:t>
      </w:r>
      <w:r w:rsidR="00567FE6">
        <w:rPr>
          <w:lang w:eastAsia="en-AU" w:bidi="ar-SA"/>
        </w:rPr>
        <w:t xml:space="preserve">g/mL for the first experiment and 625 2150, 2500 and 5000 </w:t>
      </w:r>
      <w:r w:rsidR="00567FE6">
        <w:rPr>
          <w:rFonts w:cs="Arial"/>
          <w:lang w:eastAsia="en-AU" w:bidi="ar-SA"/>
        </w:rPr>
        <w:t>µ</w:t>
      </w:r>
      <w:r w:rsidR="00567FE6">
        <w:rPr>
          <w:lang w:eastAsia="en-AU" w:bidi="ar-SA"/>
        </w:rPr>
        <w:t xml:space="preserve">g for the second experiment. Each treatment was conducted in duplicate in each experiment. In the first experiment, cells were exposed to the test article, with or without </w:t>
      </w:r>
      <w:r w:rsidR="00310BE8">
        <w:rPr>
          <w:lang w:eastAsia="en-AU" w:bidi="ar-SA"/>
        </w:rPr>
        <w:t>S9</w:t>
      </w:r>
      <w:r w:rsidR="00C523BA">
        <w:rPr>
          <w:lang w:eastAsia="en-AU" w:bidi="ar-SA"/>
        </w:rPr>
        <w:t xml:space="preserve"> </w:t>
      </w:r>
      <w:r w:rsidR="00567FE6">
        <w:rPr>
          <w:lang w:eastAsia="en-AU" w:bidi="ar-SA"/>
        </w:rPr>
        <w:t>mix, for 3 hours, followed by 24 hours recovery. In the second experiment, cells were either exposed to the test article without S9 mix for 24 hours with 20 hours recovery, or with S9 mix for 3 hours with 24 hours recovery. Incubation for all exposure and recovery periods was 37</w:t>
      </w:r>
      <w:r w:rsidR="00567FE6">
        <w:rPr>
          <w:rFonts w:cs="Arial"/>
          <w:lang w:eastAsia="en-AU" w:bidi="ar-SA"/>
        </w:rPr>
        <w:t>°</w:t>
      </w:r>
      <w:r w:rsidR="00567FE6">
        <w:rPr>
          <w:lang w:eastAsia="en-AU" w:bidi="ar-SA"/>
        </w:rPr>
        <w:t xml:space="preserve">C. Cells were examined for evidence of cytotoxicity, and for the presence of micronuclei in 1000 mononucleated cells/culture (2000 mononucleated cells per dose). </w:t>
      </w:r>
    </w:p>
    <w:p w14:paraId="27EC3883" w14:textId="3B2340E8" w:rsidR="00EB781E" w:rsidRDefault="00EB781E" w:rsidP="00E7044E">
      <w:pPr>
        <w:rPr>
          <w:lang w:eastAsia="en-AU" w:bidi="ar-SA"/>
        </w:rPr>
      </w:pPr>
    </w:p>
    <w:p w14:paraId="527DC864" w14:textId="4E039DA7" w:rsidR="00EB781E" w:rsidRDefault="00EB781E" w:rsidP="00E7044E">
      <w:pPr>
        <w:rPr>
          <w:lang w:eastAsia="en-AU" w:bidi="ar-SA"/>
        </w:rPr>
      </w:pPr>
      <w:r>
        <w:rPr>
          <w:lang w:eastAsia="en-AU" w:bidi="ar-SA"/>
        </w:rPr>
        <w:t xml:space="preserve">No noteworthy toxicity was observed in any culture, and there was no significant increase in the frequency of micronucleated cells in any culture. All positive control articles induced significant increases in micronucleated cells, confirming the validity of the assay. </w:t>
      </w:r>
    </w:p>
    <w:p w14:paraId="7BC3E409" w14:textId="6E6BF25A" w:rsidR="00EB781E" w:rsidRDefault="00EB781E" w:rsidP="00E7044E">
      <w:pPr>
        <w:rPr>
          <w:lang w:eastAsia="en-AU" w:bidi="ar-SA"/>
        </w:rPr>
      </w:pPr>
    </w:p>
    <w:p w14:paraId="3E3D5703" w14:textId="15CF0CD7" w:rsidR="00EB781E" w:rsidRPr="00EB781E" w:rsidRDefault="00EB781E" w:rsidP="00EB781E">
      <w:pPr>
        <w:rPr>
          <w:lang w:eastAsia="en-AU" w:bidi="ar-SA"/>
        </w:rPr>
      </w:pPr>
      <w:r>
        <w:rPr>
          <w:lang w:eastAsia="en-AU" w:bidi="ar-SA"/>
        </w:rPr>
        <w:t xml:space="preserve">It was concluded that the test article did not induce any chromosome damage or damage to the cell division apparatus in </w:t>
      </w:r>
      <w:r w:rsidRPr="00EB781E">
        <w:rPr>
          <w:lang w:eastAsia="en-AU" w:bidi="ar-SA"/>
        </w:rPr>
        <w:t>L5178Y TK</w:t>
      </w:r>
      <w:r w:rsidRPr="00EB781E">
        <w:rPr>
          <w:vertAlign w:val="superscript"/>
          <w:lang w:eastAsia="en-AU" w:bidi="ar-SA"/>
        </w:rPr>
        <w:t>+/-</w:t>
      </w:r>
      <w:r>
        <w:rPr>
          <w:vertAlign w:val="superscript"/>
          <w:lang w:eastAsia="en-AU" w:bidi="ar-SA"/>
        </w:rPr>
        <w:t xml:space="preserve"> </w:t>
      </w:r>
      <w:r>
        <w:rPr>
          <w:lang w:eastAsia="en-AU" w:bidi="ar-SA"/>
        </w:rPr>
        <w:t xml:space="preserve">mouse lymphoma cells, with or without the presence of a metabolizing system. </w:t>
      </w:r>
    </w:p>
    <w:p w14:paraId="382E8460" w14:textId="6658ECB4" w:rsidR="00C15A6C" w:rsidRDefault="007B70AE" w:rsidP="003D1FD4">
      <w:pPr>
        <w:pStyle w:val="Heading3"/>
      </w:pPr>
      <w:bookmarkStart w:id="97" w:name="_Toc536544008"/>
      <w:bookmarkStart w:id="98" w:name="_Toc536607143"/>
      <w:bookmarkStart w:id="99" w:name="_Toc16848725"/>
      <w:r>
        <w:t>3.3</w:t>
      </w:r>
      <w:r w:rsidR="00C15A6C">
        <w:t>.5</w:t>
      </w:r>
      <w:r w:rsidR="0035149D">
        <w:tab/>
      </w:r>
      <w:r w:rsidR="009F4D72">
        <w:t>P</w:t>
      </w:r>
      <w:r w:rsidR="00C15A6C">
        <w:t>otential for allergenicity</w:t>
      </w:r>
      <w:bookmarkEnd w:id="97"/>
      <w:bookmarkEnd w:id="98"/>
      <w:bookmarkEnd w:id="99"/>
      <w:r w:rsidR="00C15A6C">
        <w:t xml:space="preserve"> </w:t>
      </w:r>
    </w:p>
    <w:p w14:paraId="7C7D9C90" w14:textId="70A67F6C" w:rsidR="005422DF" w:rsidRDefault="008512E5" w:rsidP="005422DF">
      <w:pPr>
        <w:rPr>
          <w:lang w:eastAsia="en-AU" w:bidi="ar-SA"/>
        </w:rPr>
      </w:pPr>
      <w:r>
        <w:rPr>
          <w:lang w:eastAsia="en-AU" w:bidi="ar-SA"/>
        </w:rPr>
        <w:t xml:space="preserve">Bioinformatics </w:t>
      </w:r>
      <w:r w:rsidR="004F75E3">
        <w:rPr>
          <w:lang w:eastAsia="en-AU" w:bidi="ar-SA"/>
        </w:rPr>
        <w:t>search</w:t>
      </w:r>
      <w:r w:rsidR="00B90E4F">
        <w:rPr>
          <w:lang w:eastAsia="en-AU" w:bidi="ar-SA"/>
        </w:rPr>
        <w:t>es</w:t>
      </w:r>
      <w:r w:rsidR="004F75E3">
        <w:rPr>
          <w:lang w:eastAsia="en-AU" w:bidi="ar-SA"/>
        </w:rPr>
        <w:t xml:space="preserve"> </w:t>
      </w:r>
      <w:r w:rsidR="009B53C2">
        <w:rPr>
          <w:lang w:eastAsia="en-AU" w:bidi="ar-SA"/>
        </w:rPr>
        <w:t>of the AllergenOnline database (</w:t>
      </w:r>
      <w:hyperlink r:id="rId21" w:history="1">
        <w:r w:rsidR="009B53C2" w:rsidRPr="00A769EC">
          <w:rPr>
            <w:rStyle w:val="Hyperlink"/>
            <w:lang w:eastAsia="en-AU" w:bidi="ar-SA"/>
          </w:rPr>
          <w:t>http://www.allergenonline.org</w:t>
        </w:r>
      </w:hyperlink>
      <w:r w:rsidR="009B53C2">
        <w:rPr>
          <w:lang w:eastAsia="en-AU" w:bidi="ar-SA"/>
        </w:rPr>
        <w:t xml:space="preserve"> ) w</w:t>
      </w:r>
      <w:r w:rsidR="00B90E4F">
        <w:rPr>
          <w:lang w:eastAsia="en-AU" w:bidi="ar-SA"/>
        </w:rPr>
        <w:t>ere</w:t>
      </w:r>
      <w:r w:rsidR="009B53C2">
        <w:rPr>
          <w:lang w:eastAsia="en-AU" w:bidi="ar-SA"/>
        </w:rPr>
        <w:t xml:space="preserve"> conducted</w:t>
      </w:r>
      <w:r>
        <w:rPr>
          <w:lang w:eastAsia="en-AU" w:bidi="ar-SA"/>
        </w:rPr>
        <w:t xml:space="preserve"> by the applicant and verified by FSANZ</w:t>
      </w:r>
      <w:r w:rsidR="009B53C2">
        <w:rPr>
          <w:lang w:eastAsia="en-AU" w:bidi="ar-SA"/>
        </w:rPr>
        <w:t xml:space="preserve">, using the amino acid sequence of the enzyme without the signal peptide as the query. Using the Full Fasta and the 80 amino acid sliding window search, there were two hits, both </w:t>
      </w:r>
      <w:r>
        <w:rPr>
          <w:lang w:eastAsia="en-AU" w:bidi="ar-SA"/>
        </w:rPr>
        <w:t xml:space="preserve">putative </w:t>
      </w:r>
      <w:r w:rsidR="009B53C2">
        <w:rPr>
          <w:lang w:eastAsia="en-AU" w:bidi="ar-SA"/>
        </w:rPr>
        <w:t>minor allergens of the tomato (</w:t>
      </w:r>
      <w:r w:rsidR="009B53C2" w:rsidRPr="009B53C2">
        <w:rPr>
          <w:i/>
          <w:lang w:eastAsia="en-AU" w:bidi="ar-SA"/>
        </w:rPr>
        <w:t>Solanum lycopersicum</w:t>
      </w:r>
      <w:r>
        <w:rPr>
          <w:lang w:eastAsia="en-AU" w:bidi="ar-SA"/>
        </w:rPr>
        <w:t>, also known as</w:t>
      </w:r>
      <w:r w:rsidR="009B53C2">
        <w:rPr>
          <w:lang w:eastAsia="en-AU" w:bidi="ar-SA"/>
        </w:rPr>
        <w:t xml:space="preserve"> </w:t>
      </w:r>
      <w:r w:rsidR="009B53C2" w:rsidRPr="009B53C2">
        <w:rPr>
          <w:i/>
          <w:lang w:eastAsia="en-AU" w:bidi="ar-SA"/>
        </w:rPr>
        <w:t>Lycopersicon esculentum</w:t>
      </w:r>
      <w:r w:rsidR="009B53C2">
        <w:rPr>
          <w:lang w:eastAsia="en-AU" w:bidi="ar-SA"/>
        </w:rPr>
        <w:t>)</w:t>
      </w:r>
      <w:r w:rsidR="00B90E4F">
        <w:rPr>
          <w:lang w:eastAsia="en-AU" w:bidi="ar-SA"/>
        </w:rPr>
        <w:t xml:space="preserve">. No matches were found using a search for 8 contiguous amino acids. </w:t>
      </w:r>
      <w:r w:rsidR="00FE204C" w:rsidRPr="00FE204C">
        <w:rPr>
          <w:lang w:eastAsia="en-AU" w:bidi="ar-SA"/>
        </w:rPr>
        <w:t>Tomato is widely used in the diet and is not recognized as a significa</w:t>
      </w:r>
      <w:r w:rsidR="00FE204C">
        <w:rPr>
          <w:lang w:eastAsia="en-AU" w:bidi="ar-SA"/>
        </w:rPr>
        <w:t xml:space="preserve">nt source of allergic reactions. </w:t>
      </w:r>
    </w:p>
    <w:p w14:paraId="7DD28C21" w14:textId="586CEFD2" w:rsidR="00FE204C" w:rsidRDefault="00FE204C" w:rsidP="005422DF">
      <w:pPr>
        <w:rPr>
          <w:lang w:eastAsia="en-AU" w:bidi="ar-SA"/>
        </w:rPr>
      </w:pPr>
    </w:p>
    <w:p w14:paraId="66394306" w14:textId="5159FA40" w:rsidR="00FE204C" w:rsidRDefault="00FE204C" w:rsidP="005422DF">
      <w:pPr>
        <w:rPr>
          <w:lang w:eastAsia="en-AU" w:bidi="ar-SA"/>
        </w:rPr>
      </w:pPr>
      <w:r>
        <w:rPr>
          <w:lang w:eastAsia="en-AU" w:bidi="ar-SA"/>
        </w:rPr>
        <w:t>The applicant states that the enzyme preparation does not contain any allergens that could originate from the fermentation medium.</w:t>
      </w:r>
    </w:p>
    <w:p w14:paraId="50E61499" w14:textId="5E939FB7" w:rsidR="00C15A6C" w:rsidRDefault="007B70AE" w:rsidP="003D1FD4">
      <w:pPr>
        <w:pStyle w:val="Heading3"/>
      </w:pPr>
      <w:bookmarkStart w:id="100" w:name="_Toc536544009"/>
      <w:bookmarkStart w:id="101" w:name="_Toc536607144"/>
      <w:bookmarkStart w:id="102" w:name="_Toc16848726"/>
      <w:r>
        <w:t>3.3</w:t>
      </w:r>
      <w:r w:rsidR="00C15A6C">
        <w:t>.6</w:t>
      </w:r>
      <w:r w:rsidR="0035149D">
        <w:tab/>
      </w:r>
      <w:r w:rsidR="00C15A6C">
        <w:t>Approvals</w:t>
      </w:r>
      <w:r w:rsidR="008A18C9">
        <w:t xml:space="preserve"> </w:t>
      </w:r>
      <w:r w:rsidR="00183BF7">
        <w:t>by o</w:t>
      </w:r>
      <w:r w:rsidR="00C15A6C">
        <w:t xml:space="preserve">ther </w:t>
      </w:r>
      <w:r w:rsidR="00183BF7">
        <w:t>regulatory</w:t>
      </w:r>
      <w:r w:rsidR="00C15A6C">
        <w:t xml:space="preserve"> agencies</w:t>
      </w:r>
      <w:bookmarkEnd w:id="100"/>
      <w:bookmarkEnd w:id="101"/>
      <w:bookmarkEnd w:id="102"/>
    </w:p>
    <w:p w14:paraId="60630605" w14:textId="230B48A8" w:rsidR="009F47F1" w:rsidRPr="009F47F1" w:rsidRDefault="009F47F1" w:rsidP="009F47F1">
      <w:pPr>
        <w:rPr>
          <w:lang w:eastAsia="en-AU" w:bidi="ar-SA"/>
        </w:rPr>
      </w:pPr>
      <w:r>
        <w:rPr>
          <w:lang w:eastAsia="en-AU" w:bidi="ar-SA"/>
        </w:rPr>
        <w:t xml:space="preserve">No approvals by other regulatory agencies are available. </w:t>
      </w:r>
    </w:p>
    <w:p w14:paraId="34C7362A" w14:textId="4698B662" w:rsidR="00632A7A" w:rsidRDefault="00AF0509" w:rsidP="00AF0509">
      <w:pPr>
        <w:pStyle w:val="Heading1"/>
      </w:pPr>
      <w:bookmarkStart w:id="103" w:name="_Toc536544010"/>
      <w:bookmarkStart w:id="104" w:name="_Toc536607145"/>
      <w:bookmarkStart w:id="105" w:name="_Toc16848727"/>
      <w:bookmarkStart w:id="106" w:name="_Toc501699836"/>
      <w:r>
        <w:t>4</w:t>
      </w:r>
      <w:r w:rsidR="00632A7A">
        <w:t xml:space="preserve"> </w:t>
      </w:r>
      <w:bookmarkEnd w:id="103"/>
      <w:bookmarkEnd w:id="104"/>
      <w:r w:rsidR="006963C9">
        <w:t>Discussion</w:t>
      </w:r>
      <w:bookmarkEnd w:id="105"/>
      <w:r w:rsidR="006963C9">
        <w:t xml:space="preserve"> </w:t>
      </w:r>
    </w:p>
    <w:p w14:paraId="4740721F" w14:textId="77777777" w:rsidR="00183B56" w:rsidRDefault="00B72F37" w:rsidP="00B72F37">
      <w:pPr>
        <w:pStyle w:val="FSBullet1"/>
        <w:numPr>
          <w:ilvl w:val="0"/>
          <w:numId w:val="0"/>
        </w:numPr>
      </w:pPr>
      <w:r w:rsidRPr="00E80F21">
        <w:t>The</w:t>
      </w:r>
      <w:r w:rsidR="00183B56">
        <w:t>re</w:t>
      </w:r>
      <w:r>
        <w:t xml:space="preserve"> </w:t>
      </w:r>
      <w:r w:rsidRPr="00EE0B89">
        <w:t xml:space="preserve">are no public health and safety concerns associated with the use of </w:t>
      </w:r>
      <w:r>
        <w:rPr>
          <w:lang w:val="en-AU"/>
        </w:rPr>
        <w:t>endo-inulinase</w:t>
      </w:r>
      <w:r>
        <w:t xml:space="preserve"> </w:t>
      </w:r>
      <w:r w:rsidRPr="00EE0B89">
        <w:t xml:space="preserve">from </w:t>
      </w:r>
      <w:r>
        <w:rPr>
          <w:i/>
        </w:rPr>
        <w:t>A</w:t>
      </w:r>
      <w:r w:rsidRPr="00EE0B89">
        <w:rPr>
          <w:i/>
        </w:rPr>
        <w:t xml:space="preserve">. </w:t>
      </w:r>
      <w:r>
        <w:rPr>
          <w:i/>
        </w:rPr>
        <w:t>oryzae</w:t>
      </w:r>
      <w:r w:rsidRPr="00EE0B89">
        <w:t xml:space="preserve"> as a food processing aid</w:t>
      </w:r>
      <w:r>
        <w:t xml:space="preserve">. </w:t>
      </w:r>
    </w:p>
    <w:p w14:paraId="52C0C030" w14:textId="77777777" w:rsidR="00183B56" w:rsidRDefault="00183B56" w:rsidP="00B72F37">
      <w:pPr>
        <w:pStyle w:val="FSBullet1"/>
        <w:numPr>
          <w:ilvl w:val="0"/>
          <w:numId w:val="0"/>
        </w:numPr>
      </w:pPr>
    </w:p>
    <w:p w14:paraId="049BC0BF" w14:textId="5B63A52D" w:rsidR="00B72F37" w:rsidRPr="009E09A0" w:rsidRDefault="00B72F37" w:rsidP="00B72F37">
      <w:pPr>
        <w:pStyle w:val="FSBullet1"/>
        <w:numPr>
          <w:ilvl w:val="0"/>
          <w:numId w:val="0"/>
        </w:numPr>
      </w:pPr>
      <w:r w:rsidRPr="009265D9">
        <w:t xml:space="preserve">The production organism </w:t>
      </w:r>
      <w:r>
        <w:t xml:space="preserve">is not toxigenic </w:t>
      </w:r>
      <w:r w:rsidR="00CD4BD7">
        <w:t>n</w:t>
      </w:r>
      <w:r>
        <w:t>or</w:t>
      </w:r>
      <w:r w:rsidRPr="009265D9">
        <w:t xml:space="preserve"> pathogenic. </w:t>
      </w:r>
      <w:r>
        <w:rPr>
          <w:i/>
        </w:rPr>
        <w:t>A. oryzae</w:t>
      </w:r>
      <w:r>
        <w:t xml:space="preserve"> </w:t>
      </w:r>
      <w:r w:rsidRPr="009265D9">
        <w:t xml:space="preserve">has a </w:t>
      </w:r>
      <w:r>
        <w:t xml:space="preserve">long </w:t>
      </w:r>
      <w:r w:rsidRPr="009265D9">
        <w:t>history of safe use as the production organism for a number of enzyme processing aids that are already permitted in the Code.</w:t>
      </w:r>
      <w:r>
        <w:t xml:space="preserve"> Molecular characterisation of the production strain </w:t>
      </w:r>
      <w:r w:rsidRPr="00A16B67">
        <w:rPr>
          <w:lang w:val="en-AU"/>
        </w:rPr>
        <w:t>confirmed the sequence</w:t>
      </w:r>
      <w:r>
        <w:rPr>
          <w:lang w:val="en-AU"/>
        </w:rPr>
        <w:t xml:space="preserve"> of the inserted DNA</w:t>
      </w:r>
      <w:r w:rsidRPr="00A16B67">
        <w:rPr>
          <w:lang w:val="en-AU"/>
        </w:rPr>
        <w:t xml:space="preserve"> has not undergone any rearrangement, and the intr</w:t>
      </w:r>
      <w:r>
        <w:rPr>
          <w:lang w:val="en-AU"/>
        </w:rPr>
        <w:t>oduced DNA is stably inherited</w:t>
      </w:r>
      <w:r w:rsidR="00183B56">
        <w:rPr>
          <w:lang w:val="en-AU"/>
        </w:rPr>
        <w:t>.</w:t>
      </w:r>
    </w:p>
    <w:p w14:paraId="6DF92772" w14:textId="0E49B733" w:rsidR="00632A7A" w:rsidRDefault="00632A7A" w:rsidP="00632A7A">
      <w:pPr>
        <w:rPr>
          <w:color w:val="4BACC6" w:themeColor="accent5"/>
          <w:lang w:bidi="ar-SA"/>
        </w:rPr>
      </w:pPr>
    </w:p>
    <w:p w14:paraId="54AC5931" w14:textId="4E47CBDB" w:rsidR="00C523BA" w:rsidRDefault="00E16901" w:rsidP="00632A7A">
      <w:pPr>
        <w:rPr>
          <w:color w:val="000000" w:themeColor="text1"/>
          <w:lang w:bidi="ar-SA"/>
        </w:rPr>
      </w:pPr>
      <w:r>
        <w:rPr>
          <w:color w:val="000000" w:themeColor="text1"/>
          <w:lang w:bidi="ar-SA"/>
        </w:rPr>
        <w:t>This</w:t>
      </w:r>
      <w:r w:rsidR="00632A7A" w:rsidRPr="00632A7A">
        <w:rPr>
          <w:color w:val="000000" w:themeColor="text1"/>
          <w:lang w:bidi="ar-SA"/>
        </w:rPr>
        <w:t xml:space="preserve"> endo-inulinase has </w:t>
      </w:r>
      <w:r w:rsidR="00632A7A">
        <w:rPr>
          <w:color w:val="000000" w:themeColor="text1"/>
          <w:lang w:bidi="ar-SA"/>
        </w:rPr>
        <w:t xml:space="preserve">been </w:t>
      </w:r>
      <w:r w:rsidR="00310BE8">
        <w:rPr>
          <w:color w:val="000000" w:themeColor="text1"/>
          <w:lang w:bidi="ar-SA"/>
        </w:rPr>
        <w:t xml:space="preserve">legally </w:t>
      </w:r>
      <w:r w:rsidR="00632A7A">
        <w:rPr>
          <w:color w:val="000000" w:themeColor="text1"/>
          <w:lang w:bidi="ar-SA"/>
        </w:rPr>
        <w:t xml:space="preserve">used in the </w:t>
      </w:r>
      <w:r w:rsidR="00632A7A" w:rsidRPr="00632A7A">
        <w:rPr>
          <w:color w:val="000000" w:themeColor="text1"/>
          <w:lang w:bidi="ar-SA"/>
        </w:rPr>
        <w:t>EU</w:t>
      </w:r>
      <w:r w:rsidR="00632A7A">
        <w:rPr>
          <w:color w:val="000000" w:themeColor="text1"/>
          <w:lang w:bidi="ar-SA"/>
        </w:rPr>
        <w:t xml:space="preserve">, with no reports of adverse effects in consumers. </w:t>
      </w:r>
    </w:p>
    <w:p w14:paraId="6B831625" w14:textId="77777777" w:rsidR="00C523BA" w:rsidRDefault="00C523BA" w:rsidP="00632A7A">
      <w:pPr>
        <w:rPr>
          <w:color w:val="000000" w:themeColor="text1"/>
          <w:lang w:bidi="ar-SA"/>
        </w:rPr>
      </w:pPr>
    </w:p>
    <w:p w14:paraId="69DB9E17" w14:textId="34F2FB29" w:rsidR="00004776" w:rsidRDefault="00632A7A" w:rsidP="00632A7A">
      <w:pPr>
        <w:rPr>
          <w:color w:val="000000" w:themeColor="text1"/>
          <w:lang w:bidi="ar-SA"/>
        </w:rPr>
      </w:pPr>
      <w:r>
        <w:rPr>
          <w:color w:val="000000" w:themeColor="text1"/>
          <w:lang w:bidi="ar-SA"/>
        </w:rPr>
        <w:t>Results of genotoxicity assays were negative, and the enzyme shows no significant homology with known protein toxins. The NOAEL in a 13-week repeat-dose oral gavage study in rats w</w:t>
      </w:r>
      <w:r w:rsidR="00F7605C">
        <w:rPr>
          <w:color w:val="000000" w:themeColor="text1"/>
          <w:lang w:bidi="ar-SA"/>
        </w:rPr>
        <w:t>as 27500 UI/kg bw/day, equivalent in TOS to 189.65 mg/kg bw/day. The Theoretical Maxim</w:t>
      </w:r>
      <w:r w:rsidR="00C52E56">
        <w:rPr>
          <w:color w:val="000000" w:themeColor="text1"/>
          <w:lang w:bidi="ar-SA"/>
        </w:rPr>
        <w:t>um</w:t>
      </w:r>
      <w:r w:rsidR="00F7605C">
        <w:rPr>
          <w:color w:val="000000" w:themeColor="text1"/>
          <w:lang w:bidi="ar-SA"/>
        </w:rPr>
        <w:t xml:space="preserve"> Daily Intake (TMDI), expressed in TOS is 0.0069 mg/kg bw/day, and the Margin of Exposure (MoE) is therefore 27,486. </w:t>
      </w:r>
    </w:p>
    <w:p w14:paraId="2B8A5BAE" w14:textId="77777777" w:rsidR="00004776" w:rsidRDefault="00004776" w:rsidP="00632A7A">
      <w:pPr>
        <w:rPr>
          <w:color w:val="000000" w:themeColor="text1"/>
          <w:lang w:bidi="ar-SA"/>
        </w:rPr>
      </w:pPr>
    </w:p>
    <w:p w14:paraId="19DC0E02" w14:textId="24D3F21A" w:rsidR="00F7605C" w:rsidRPr="00F7605C" w:rsidRDefault="00F7605C" w:rsidP="00632A7A">
      <w:pPr>
        <w:rPr>
          <w:color w:val="4BACC6" w:themeColor="accent5"/>
          <w:lang w:bidi="ar-SA"/>
        </w:rPr>
      </w:pPr>
      <w:r>
        <w:rPr>
          <w:color w:val="000000" w:themeColor="text1"/>
          <w:lang w:bidi="ar-SA"/>
        </w:rPr>
        <w:t>Bioinformatic</w:t>
      </w:r>
      <w:r w:rsidR="00004776">
        <w:rPr>
          <w:color w:val="000000" w:themeColor="text1"/>
          <w:lang w:bidi="ar-SA"/>
        </w:rPr>
        <w:t xml:space="preserve"> analysis</w:t>
      </w:r>
      <w:r>
        <w:rPr>
          <w:color w:val="000000" w:themeColor="text1"/>
          <w:lang w:bidi="ar-SA"/>
        </w:rPr>
        <w:t xml:space="preserve"> </w:t>
      </w:r>
      <w:r w:rsidR="0010432F">
        <w:rPr>
          <w:color w:val="000000" w:themeColor="text1"/>
          <w:lang w:bidi="ar-SA"/>
        </w:rPr>
        <w:t>i</w:t>
      </w:r>
      <w:r>
        <w:rPr>
          <w:color w:val="000000" w:themeColor="text1"/>
          <w:lang w:bidi="ar-SA"/>
        </w:rPr>
        <w:t xml:space="preserve">dentified potential homology to minor allergens in tomato. Tomato is not considered to </w:t>
      </w:r>
      <w:r w:rsidR="00C52E56">
        <w:rPr>
          <w:color w:val="000000" w:themeColor="text1"/>
          <w:lang w:bidi="ar-SA"/>
        </w:rPr>
        <w:t xml:space="preserve">be </w:t>
      </w:r>
      <w:r>
        <w:rPr>
          <w:color w:val="000000" w:themeColor="text1"/>
          <w:lang w:bidi="ar-SA"/>
        </w:rPr>
        <w:t xml:space="preserve">a major allergen and is widely used in food. </w:t>
      </w:r>
    </w:p>
    <w:p w14:paraId="0B635B4E" w14:textId="414BDA49" w:rsidR="00521FAD" w:rsidRPr="00521FAD" w:rsidRDefault="00B72F37">
      <w:pPr>
        <w:pStyle w:val="Heading1"/>
      </w:pPr>
      <w:bookmarkStart w:id="107" w:name="_Toc16848728"/>
      <w:bookmarkStart w:id="108" w:name="_Toc536544012"/>
      <w:bookmarkStart w:id="109" w:name="_Toc536607147"/>
      <w:r>
        <w:t>5</w:t>
      </w:r>
      <w:r w:rsidR="00AF0509">
        <w:t xml:space="preserve"> </w:t>
      </w:r>
      <w:r w:rsidR="00521FAD" w:rsidRPr="00521FAD">
        <w:t>Conclusion</w:t>
      </w:r>
      <w:bookmarkEnd w:id="107"/>
    </w:p>
    <w:p w14:paraId="55B9C47F" w14:textId="1DD7E5D6" w:rsidR="00521FAD" w:rsidRDefault="00521FAD" w:rsidP="00521FAD">
      <w:r w:rsidRPr="00632A7A">
        <w:t xml:space="preserve">Based on the reviewed data it is concluded that </w:t>
      </w:r>
      <w:r w:rsidR="00004776" w:rsidRPr="00004776">
        <w:t>in the absence of any identifiable hazard</w:t>
      </w:r>
      <w:r w:rsidR="00310BE8">
        <w:t>,</w:t>
      </w:r>
      <w:r w:rsidR="00004776" w:rsidRPr="00004776">
        <w:t xml:space="preserve"> </w:t>
      </w:r>
      <w:r w:rsidRPr="00632A7A">
        <w:t xml:space="preserve">an Acceptable Daily Intake (ADI) ‘not specified’ is appropriate. A dietary exposure assessment was therefore </w:t>
      </w:r>
      <w:r>
        <w:t xml:space="preserve">not required. </w:t>
      </w:r>
    </w:p>
    <w:p w14:paraId="26281CEA" w14:textId="11BC311B" w:rsidR="00AF0509" w:rsidRDefault="00521FAD" w:rsidP="00AF0509">
      <w:pPr>
        <w:pStyle w:val="Heading1"/>
      </w:pPr>
      <w:bookmarkStart w:id="110" w:name="_Toc16848729"/>
      <w:r w:rsidRPr="00521FAD">
        <w:t xml:space="preserve">6 </w:t>
      </w:r>
      <w:r w:rsidR="00AF0509">
        <w:t>References</w:t>
      </w:r>
      <w:bookmarkEnd w:id="106"/>
      <w:bookmarkEnd w:id="108"/>
      <w:bookmarkEnd w:id="109"/>
      <w:bookmarkEnd w:id="110"/>
    </w:p>
    <w:p w14:paraId="2D2F5D9F" w14:textId="30D5174A" w:rsidR="00D90276" w:rsidRDefault="00D90276" w:rsidP="00F279DD">
      <w:pPr>
        <w:rPr>
          <w:sz w:val="20"/>
          <w:szCs w:val="20"/>
        </w:rPr>
      </w:pPr>
      <w:r>
        <w:rPr>
          <w:sz w:val="20"/>
          <w:szCs w:val="20"/>
        </w:rPr>
        <w:t xml:space="preserve">Abe K, Gomi K (2008) Food products </w:t>
      </w:r>
      <w:r w:rsidR="00C63A16">
        <w:rPr>
          <w:sz w:val="20"/>
          <w:szCs w:val="20"/>
        </w:rPr>
        <w:t xml:space="preserve">fermented by </w:t>
      </w:r>
      <w:r w:rsidR="00C63A16" w:rsidRPr="00C63A16">
        <w:rPr>
          <w:i/>
          <w:sz w:val="20"/>
          <w:szCs w:val="20"/>
        </w:rPr>
        <w:t>Aspergillus oryzae</w:t>
      </w:r>
      <w:r w:rsidR="00C63A16">
        <w:rPr>
          <w:sz w:val="20"/>
          <w:szCs w:val="20"/>
        </w:rPr>
        <w:t xml:space="preserve">. In Goldman GH, Osmani SA (eds) </w:t>
      </w:r>
      <w:r w:rsidR="00C63A16" w:rsidRPr="00C63A16">
        <w:rPr>
          <w:sz w:val="20"/>
          <w:szCs w:val="20"/>
        </w:rPr>
        <w:t>The Aspergilli: Genomics, Medical Aspects, Biotechnology, and Research Methods</w:t>
      </w:r>
      <w:r w:rsidR="00823A0F">
        <w:rPr>
          <w:sz w:val="20"/>
          <w:szCs w:val="20"/>
        </w:rPr>
        <w:t>.</w:t>
      </w:r>
      <w:r w:rsidR="00C63A16">
        <w:rPr>
          <w:sz w:val="20"/>
          <w:szCs w:val="20"/>
        </w:rPr>
        <w:t xml:space="preserve"> </w:t>
      </w:r>
      <w:r w:rsidR="00823A0F">
        <w:rPr>
          <w:sz w:val="20"/>
          <w:szCs w:val="20"/>
        </w:rPr>
        <w:t xml:space="preserve">CRC Press, </w:t>
      </w:r>
      <w:r w:rsidR="00823A0F" w:rsidRPr="00823A0F">
        <w:rPr>
          <w:sz w:val="20"/>
          <w:szCs w:val="20"/>
        </w:rPr>
        <w:t>Boca Raton</w:t>
      </w:r>
      <w:r w:rsidR="00823A0F">
        <w:rPr>
          <w:sz w:val="20"/>
          <w:szCs w:val="20"/>
        </w:rPr>
        <w:t>, pp 429-</w:t>
      </w:r>
      <w:r w:rsidR="00D7092C">
        <w:rPr>
          <w:sz w:val="20"/>
          <w:szCs w:val="20"/>
        </w:rPr>
        <w:t>439</w:t>
      </w:r>
    </w:p>
    <w:p w14:paraId="79EB3025" w14:textId="575A679F" w:rsidR="001C2F88" w:rsidRDefault="001C2F88" w:rsidP="00F279DD">
      <w:pPr>
        <w:rPr>
          <w:sz w:val="20"/>
          <w:szCs w:val="20"/>
        </w:rPr>
      </w:pPr>
    </w:p>
    <w:p w14:paraId="42461CB9" w14:textId="52493365" w:rsidR="001C2F88" w:rsidRDefault="001C2F88" w:rsidP="00F279DD">
      <w:pPr>
        <w:rPr>
          <w:sz w:val="20"/>
          <w:szCs w:val="20"/>
        </w:rPr>
      </w:pPr>
      <w:r>
        <w:rPr>
          <w:sz w:val="20"/>
          <w:szCs w:val="20"/>
        </w:rPr>
        <w:t xml:space="preserve">Bogar B, </w:t>
      </w:r>
      <w:r w:rsidRPr="001C2F88">
        <w:rPr>
          <w:sz w:val="20"/>
          <w:szCs w:val="20"/>
        </w:rPr>
        <w:t>Szakacs G, L</w:t>
      </w:r>
      <w:r>
        <w:rPr>
          <w:sz w:val="20"/>
          <w:szCs w:val="20"/>
        </w:rPr>
        <w:t xml:space="preserve">inden JC, Pandey A, Tengerdy RP (2003) </w:t>
      </w:r>
      <w:r w:rsidRPr="001C2F88">
        <w:rPr>
          <w:sz w:val="20"/>
          <w:szCs w:val="20"/>
        </w:rPr>
        <w:t>Optimization of phytase production by solid substrate fermentation</w:t>
      </w:r>
      <w:r>
        <w:rPr>
          <w:sz w:val="20"/>
          <w:szCs w:val="20"/>
        </w:rPr>
        <w:t xml:space="preserve">. </w:t>
      </w:r>
      <w:r w:rsidRPr="001C2F88">
        <w:rPr>
          <w:sz w:val="20"/>
          <w:szCs w:val="20"/>
        </w:rPr>
        <w:t>J Ind Microbiol Biotechnol</w:t>
      </w:r>
      <w:r>
        <w:rPr>
          <w:sz w:val="20"/>
          <w:szCs w:val="20"/>
        </w:rPr>
        <w:t xml:space="preserve"> 30(3):183-189</w:t>
      </w:r>
    </w:p>
    <w:p w14:paraId="12A95BD9" w14:textId="22C5AE9A" w:rsidR="00823A0F" w:rsidRDefault="00823A0F" w:rsidP="00F279DD">
      <w:pPr>
        <w:rPr>
          <w:sz w:val="20"/>
          <w:szCs w:val="20"/>
        </w:rPr>
      </w:pPr>
    </w:p>
    <w:p w14:paraId="14C80C1C" w14:textId="7CA85C9A" w:rsidR="00823A0F" w:rsidRDefault="00823A0F" w:rsidP="00F279DD">
      <w:pPr>
        <w:rPr>
          <w:sz w:val="20"/>
          <w:szCs w:val="20"/>
        </w:rPr>
      </w:pPr>
      <w:r>
        <w:rPr>
          <w:sz w:val="20"/>
          <w:szCs w:val="20"/>
        </w:rPr>
        <w:t xml:space="preserve">Braaksma M, Punt PJ (2008) Aspergillus as a cell factory for protein production: controlling protease activity in fungal production. In Goldman GH, Osmani SA (eds) </w:t>
      </w:r>
      <w:r w:rsidRPr="00C63A16">
        <w:rPr>
          <w:sz w:val="20"/>
          <w:szCs w:val="20"/>
        </w:rPr>
        <w:t>The Aspergilli: Genomics, Medical Aspects, Biotechnology, and Research Methods</w:t>
      </w:r>
      <w:r>
        <w:rPr>
          <w:sz w:val="20"/>
          <w:szCs w:val="20"/>
        </w:rPr>
        <w:t xml:space="preserve">. </w:t>
      </w:r>
      <w:r w:rsidR="00D7092C">
        <w:rPr>
          <w:sz w:val="20"/>
          <w:szCs w:val="20"/>
        </w:rPr>
        <w:t xml:space="preserve">CRC Press, </w:t>
      </w:r>
      <w:r w:rsidR="00D7092C" w:rsidRPr="00823A0F">
        <w:rPr>
          <w:sz w:val="20"/>
          <w:szCs w:val="20"/>
        </w:rPr>
        <w:t>Boca Raton</w:t>
      </w:r>
      <w:r w:rsidR="00D7092C">
        <w:rPr>
          <w:sz w:val="20"/>
          <w:szCs w:val="20"/>
        </w:rPr>
        <w:t>, pp 441-455</w:t>
      </w:r>
    </w:p>
    <w:p w14:paraId="61F57043" w14:textId="7BFF5C64" w:rsidR="00606F73" w:rsidRDefault="00606F73" w:rsidP="00F279DD">
      <w:pPr>
        <w:rPr>
          <w:sz w:val="20"/>
          <w:szCs w:val="20"/>
        </w:rPr>
      </w:pPr>
    </w:p>
    <w:p w14:paraId="0E885594" w14:textId="56DDB5F9" w:rsidR="00606F73" w:rsidRDefault="00606F73" w:rsidP="00F279DD">
      <w:pPr>
        <w:rPr>
          <w:sz w:val="20"/>
          <w:szCs w:val="20"/>
        </w:rPr>
      </w:pPr>
      <w:r w:rsidRPr="00AF2836">
        <w:rPr>
          <w:sz w:val="20"/>
          <w:szCs w:val="20"/>
        </w:rPr>
        <w:t>Gabrielli E, Fothergill AW, Brescini L, Sutton DA, Marchionni E, Orsetti E, Staffolani S, Castelli P, Gesuita R, Barchiesi F (2014) Osteomyelitis caused by Aspergillus species: A review of 310 reported cases. Clin Microbiol Infect 20:559-565</w:t>
      </w:r>
    </w:p>
    <w:p w14:paraId="325365E0" w14:textId="77777777" w:rsidR="00C63A16" w:rsidRDefault="00C63A16" w:rsidP="00F279DD">
      <w:pPr>
        <w:rPr>
          <w:sz w:val="20"/>
          <w:szCs w:val="20"/>
        </w:rPr>
      </w:pPr>
    </w:p>
    <w:p w14:paraId="6FC68380" w14:textId="28E67BFD" w:rsidR="00BF446A" w:rsidRDefault="00BF446A" w:rsidP="00F279DD">
      <w:pPr>
        <w:rPr>
          <w:sz w:val="20"/>
          <w:szCs w:val="20"/>
        </w:rPr>
      </w:pPr>
      <w:r w:rsidRPr="00F279DD">
        <w:rPr>
          <w:sz w:val="20"/>
          <w:szCs w:val="20"/>
        </w:rPr>
        <w:t>Gryshyna A, Kautto L, Peterson R, Nevalainen KMH (2016) On the safety of filamentous fungi with special emphasis on Trichoderma reesei and products made by recombinant means. In Schmoll M, Dattenböck C (eds) Gene expression systems in fungi: advancements and applications. Fungal Biology. Springer, Cham</w:t>
      </w:r>
    </w:p>
    <w:p w14:paraId="0C2FFDBF" w14:textId="300A5CA9" w:rsidR="00F279DD" w:rsidRDefault="00F279DD" w:rsidP="00F279DD">
      <w:pPr>
        <w:rPr>
          <w:b/>
          <w:bCs/>
          <w:sz w:val="20"/>
          <w:szCs w:val="20"/>
        </w:rPr>
      </w:pPr>
    </w:p>
    <w:p w14:paraId="4E0A359E" w14:textId="77777777" w:rsidR="00606F73" w:rsidRDefault="00606F73" w:rsidP="00606F73">
      <w:pPr>
        <w:rPr>
          <w:sz w:val="20"/>
          <w:szCs w:val="20"/>
        </w:rPr>
      </w:pPr>
      <w:r w:rsidRPr="0063675F">
        <w:rPr>
          <w:sz w:val="20"/>
          <w:szCs w:val="20"/>
        </w:rPr>
        <w:t xml:space="preserve">IUBMB (2017). EC 3.2.1.7. </w:t>
      </w:r>
      <w:hyperlink r:id="rId22" w:history="1">
        <w:r w:rsidRPr="0063675F">
          <w:rPr>
            <w:rStyle w:val="Hyperlink"/>
            <w:sz w:val="20"/>
            <w:szCs w:val="20"/>
          </w:rPr>
          <w:t>https://www.qmul.ac.uk/sbcs/iubmb/enzyme/EC3/2/1/7.html</w:t>
        </w:r>
      </w:hyperlink>
      <w:r>
        <w:rPr>
          <w:sz w:val="20"/>
          <w:szCs w:val="20"/>
        </w:rPr>
        <w:t xml:space="preserve"> </w:t>
      </w:r>
    </w:p>
    <w:p w14:paraId="18917F16" w14:textId="77777777" w:rsidR="00606F73" w:rsidRPr="00F279DD" w:rsidRDefault="00606F73" w:rsidP="00F279DD">
      <w:pPr>
        <w:rPr>
          <w:b/>
          <w:bCs/>
          <w:sz w:val="20"/>
          <w:szCs w:val="20"/>
        </w:rPr>
      </w:pPr>
    </w:p>
    <w:p w14:paraId="243D752E" w14:textId="77676749" w:rsidR="002606FB" w:rsidRPr="0063675F" w:rsidRDefault="00DB0540" w:rsidP="0063675F">
      <w:pPr>
        <w:rPr>
          <w:sz w:val="20"/>
          <w:szCs w:val="20"/>
        </w:rPr>
      </w:pPr>
      <w:r w:rsidRPr="0063675F">
        <w:rPr>
          <w:sz w:val="20"/>
          <w:szCs w:val="20"/>
        </w:rPr>
        <w:t xml:space="preserve">JECFA </w:t>
      </w:r>
      <w:r w:rsidR="002606FB" w:rsidRPr="0063675F">
        <w:rPr>
          <w:sz w:val="20"/>
          <w:szCs w:val="20"/>
        </w:rPr>
        <w:t>(201</w:t>
      </w:r>
      <w:r w:rsidR="00444AE3" w:rsidRPr="0063675F">
        <w:rPr>
          <w:sz w:val="20"/>
          <w:szCs w:val="20"/>
        </w:rPr>
        <w:t>7</w:t>
      </w:r>
      <w:r w:rsidR="002606FB" w:rsidRPr="0063675F">
        <w:rPr>
          <w:sz w:val="20"/>
          <w:szCs w:val="20"/>
        </w:rPr>
        <w:t xml:space="preserve">) </w:t>
      </w:r>
      <w:r w:rsidRPr="0063675F">
        <w:rPr>
          <w:sz w:val="20"/>
          <w:szCs w:val="20"/>
        </w:rPr>
        <w:t>Combined compendium of food additive specifications (FAO JECFA Monograph 1)</w:t>
      </w:r>
      <w:r w:rsidR="0063675F">
        <w:rPr>
          <w:sz w:val="20"/>
          <w:szCs w:val="20"/>
        </w:rPr>
        <w:t xml:space="preserve"> </w:t>
      </w:r>
      <w:hyperlink r:id="rId23" w:history="1">
        <w:r w:rsidR="002606FB" w:rsidRPr="0063675F">
          <w:rPr>
            <w:rStyle w:val="Hyperlink"/>
            <w:sz w:val="20"/>
          </w:rPr>
          <w:t>http://www.fao.org/docrep/009/a0691e/A0691E03.htm</w:t>
        </w:r>
      </w:hyperlink>
      <w:r w:rsidR="002606FB" w:rsidRPr="0063675F">
        <w:rPr>
          <w:sz w:val="20"/>
          <w:szCs w:val="20"/>
        </w:rPr>
        <w:t xml:space="preserve"> </w:t>
      </w:r>
    </w:p>
    <w:p w14:paraId="7AA66270" w14:textId="53F1B90A" w:rsidR="00BF446A" w:rsidRDefault="00BF446A" w:rsidP="00D20F66">
      <w:pPr>
        <w:ind w:left="284" w:hanging="284"/>
        <w:rPr>
          <w:sz w:val="20"/>
          <w:szCs w:val="20"/>
          <w:highlight w:val="yellow"/>
        </w:rPr>
      </w:pPr>
    </w:p>
    <w:p w14:paraId="4936281D" w14:textId="1938D746" w:rsidR="00BF446A" w:rsidRDefault="00BF446A" w:rsidP="00BF446A">
      <w:pPr>
        <w:rPr>
          <w:sz w:val="20"/>
          <w:szCs w:val="20"/>
        </w:rPr>
      </w:pPr>
      <w:r w:rsidRPr="00BF446A">
        <w:rPr>
          <w:sz w:val="20"/>
          <w:szCs w:val="20"/>
        </w:rPr>
        <w:t xml:space="preserve">Kelly JM, Hynes MJ (1985) Transformation of </w:t>
      </w:r>
      <w:r w:rsidRPr="0070258F">
        <w:rPr>
          <w:i/>
          <w:sz w:val="20"/>
          <w:szCs w:val="20"/>
        </w:rPr>
        <w:t>Aspergillus niger</w:t>
      </w:r>
      <w:r w:rsidRPr="00BF446A">
        <w:rPr>
          <w:sz w:val="20"/>
          <w:szCs w:val="20"/>
        </w:rPr>
        <w:t xml:space="preserve"> by the </w:t>
      </w:r>
      <w:r w:rsidRPr="00151CAA">
        <w:rPr>
          <w:i/>
          <w:sz w:val="20"/>
          <w:szCs w:val="20"/>
        </w:rPr>
        <w:t>amdS</w:t>
      </w:r>
      <w:r w:rsidRPr="00BF446A">
        <w:rPr>
          <w:sz w:val="20"/>
          <w:szCs w:val="20"/>
        </w:rPr>
        <w:t xml:space="preserve"> gene of </w:t>
      </w:r>
      <w:r w:rsidRPr="00151CAA">
        <w:rPr>
          <w:i/>
          <w:sz w:val="20"/>
          <w:szCs w:val="20"/>
        </w:rPr>
        <w:t>Aspergillus nidulans</w:t>
      </w:r>
      <w:r w:rsidR="00151CAA">
        <w:rPr>
          <w:sz w:val="20"/>
          <w:szCs w:val="20"/>
        </w:rPr>
        <w:t>.</w:t>
      </w:r>
      <w:r w:rsidRPr="00BF446A">
        <w:rPr>
          <w:sz w:val="20"/>
          <w:szCs w:val="20"/>
        </w:rPr>
        <w:t xml:space="preserve"> The EMBO Journal</w:t>
      </w:r>
      <w:r w:rsidR="0070258F">
        <w:rPr>
          <w:sz w:val="20"/>
          <w:szCs w:val="20"/>
        </w:rPr>
        <w:t>,</w:t>
      </w:r>
      <w:r w:rsidRPr="00BF446A">
        <w:rPr>
          <w:sz w:val="20"/>
          <w:szCs w:val="20"/>
        </w:rPr>
        <w:t xml:space="preserve"> 4(2)</w:t>
      </w:r>
      <w:r w:rsidR="0070258F">
        <w:rPr>
          <w:sz w:val="20"/>
          <w:szCs w:val="20"/>
        </w:rPr>
        <w:t>:</w:t>
      </w:r>
      <w:r w:rsidRPr="00BF446A">
        <w:rPr>
          <w:sz w:val="20"/>
          <w:szCs w:val="20"/>
        </w:rPr>
        <w:t>475</w:t>
      </w:r>
      <w:r w:rsidR="0070258F">
        <w:rPr>
          <w:sz w:val="20"/>
          <w:szCs w:val="20"/>
        </w:rPr>
        <w:t>-</w:t>
      </w:r>
      <w:r w:rsidRPr="00BF446A">
        <w:rPr>
          <w:sz w:val="20"/>
          <w:szCs w:val="20"/>
        </w:rPr>
        <w:t>479</w:t>
      </w:r>
    </w:p>
    <w:p w14:paraId="34A75C8A" w14:textId="32F88E12" w:rsidR="00016F39" w:rsidRPr="00016F39" w:rsidRDefault="00016F39" w:rsidP="00BF446A">
      <w:pPr>
        <w:rPr>
          <w:sz w:val="20"/>
          <w:szCs w:val="20"/>
        </w:rPr>
      </w:pPr>
    </w:p>
    <w:p w14:paraId="046F05C2" w14:textId="1087A073" w:rsidR="00016F39" w:rsidRPr="00016F39" w:rsidRDefault="00016F39" w:rsidP="00BF446A">
      <w:pPr>
        <w:rPr>
          <w:sz w:val="20"/>
          <w:szCs w:val="20"/>
        </w:rPr>
      </w:pPr>
      <w:r w:rsidRPr="00016F39">
        <w:rPr>
          <w:sz w:val="20"/>
          <w:szCs w:val="20"/>
        </w:rPr>
        <w:t>Machida M, Tamada O, Gomi K</w:t>
      </w:r>
      <w:r>
        <w:rPr>
          <w:sz w:val="20"/>
          <w:szCs w:val="20"/>
        </w:rPr>
        <w:t xml:space="preserve"> (2008) </w:t>
      </w:r>
      <w:r w:rsidRPr="00016F39">
        <w:rPr>
          <w:sz w:val="20"/>
          <w:szCs w:val="20"/>
        </w:rPr>
        <w:t xml:space="preserve">Genomics of </w:t>
      </w:r>
      <w:r w:rsidRPr="0088048A">
        <w:rPr>
          <w:i/>
          <w:sz w:val="20"/>
          <w:szCs w:val="20"/>
        </w:rPr>
        <w:t>Aspergillus oryzae</w:t>
      </w:r>
      <w:r w:rsidRPr="00016F39">
        <w:rPr>
          <w:sz w:val="20"/>
          <w:szCs w:val="20"/>
        </w:rPr>
        <w:t>: learning from the history of Koji mold and exploration of its future</w:t>
      </w:r>
      <w:r>
        <w:rPr>
          <w:sz w:val="20"/>
          <w:szCs w:val="20"/>
        </w:rPr>
        <w:t>. DNA Res 15(4):173-173</w:t>
      </w:r>
    </w:p>
    <w:p w14:paraId="7B0B801D" w14:textId="671C7B6B" w:rsidR="00606F73" w:rsidRDefault="00606F73" w:rsidP="002606FB">
      <w:pPr>
        <w:rPr>
          <w:sz w:val="20"/>
          <w:szCs w:val="20"/>
          <w:highlight w:val="yellow"/>
        </w:rPr>
      </w:pPr>
    </w:p>
    <w:p w14:paraId="0324E038" w14:textId="0EEBD7D1" w:rsidR="00606F73" w:rsidRPr="00F412E4" w:rsidRDefault="00606F73" w:rsidP="002606FB">
      <w:pPr>
        <w:rPr>
          <w:sz w:val="20"/>
          <w:szCs w:val="20"/>
          <w:highlight w:val="yellow"/>
        </w:rPr>
      </w:pPr>
      <w:r w:rsidRPr="00AF2836">
        <w:rPr>
          <w:sz w:val="20"/>
          <w:szCs w:val="20"/>
        </w:rPr>
        <w:t>Sadarangani M, Harvey M, McDonald A, Speert DP, Dix D (2015) Brain Abscesses Due to Aspergillus nidulans Infection During Induction Chemotherapy for Acute Lymphoblastic Leukemia. J Pediatr Hematol Oncol 37:e384-6</w:t>
      </w:r>
    </w:p>
    <w:p w14:paraId="6A937591" w14:textId="0BC6FEC6" w:rsidR="00D20F66" w:rsidRPr="00F412E4" w:rsidRDefault="00D20F66" w:rsidP="00D20F66">
      <w:pPr>
        <w:ind w:left="284" w:hanging="284"/>
        <w:rPr>
          <w:sz w:val="20"/>
          <w:szCs w:val="20"/>
          <w:highlight w:val="yellow"/>
        </w:rPr>
      </w:pPr>
    </w:p>
    <w:p w14:paraId="0455BCCD" w14:textId="2779D6A2" w:rsidR="001E6A7B" w:rsidRDefault="00855336" w:rsidP="0063675F">
      <w:pPr>
        <w:rPr>
          <w:rStyle w:val="Hyperlink"/>
          <w:sz w:val="20"/>
          <w:szCs w:val="20"/>
        </w:rPr>
      </w:pPr>
      <w:r w:rsidRPr="0063675F">
        <w:rPr>
          <w:sz w:val="20"/>
          <w:szCs w:val="20"/>
        </w:rPr>
        <w:t>USPC (</w:t>
      </w:r>
      <w:r w:rsidR="001E6A7B" w:rsidRPr="0063675F">
        <w:rPr>
          <w:sz w:val="20"/>
          <w:szCs w:val="20"/>
        </w:rPr>
        <w:t>201</w:t>
      </w:r>
      <w:r w:rsidR="008C62C9" w:rsidRPr="0063675F">
        <w:rPr>
          <w:sz w:val="20"/>
          <w:szCs w:val="20"/>
        </w:rPr>
        <w:t>8</w:t>
      </w:r>
      <w:r w:rsidR="001E6A7B" w:rsidRPr="0063675F">
        <w:rPr>
          <w:sz w:val="20"/>
          <w:szCs w:val="20"/>
        </w:rPr>
        <w:t>) Food Chemicals Codex 1</w:t>
      </w:r>
      <w:r w:rsidR="008C62C9" w:rsidRPr="0063675F">
        <w:rPr>
          <w:sz w:val="20"/>
          <w:szCs w:val="20"/>
        </w:rPr>
        <w:t>1</w:t>
      </w:r>
      <w:r w:rsidR="001E6A7B" w:rsidRPr="0063675F">
        <w:rPr>
          <w:sz w:val="20"/>
          <w:szCs w:val="20"/>
          <w:vertAlign w:val="superscript"/>
        </w:rPr>
        <w:t>th</w:t>
      </w:r>
      <w:r w:rsidR="001E6A7B" w:rsidRPr="0063675F">
        <w:rPr>
          <w:sz w:val="20"/>
          <w:szCs w:val="20"/>
        </w:rPr>
        <w:t xml:space="preserve"> Edition, United States Pharmacopeial Convention, Rockville, MD. </w:t>
      </w:r>
      <w:hyperlink r:id="rId24" w:history="1">
        <w:r w:rsidR="001E6A7B" w:rsidRPr="0063675F">
          <w:rPr>
            <w:rStyle w:val="Hyperlink"/>
            <w:sz w:val="20"/>
            <w:szCs w:val="20"/>
          </w:rPr>
          <w:t>http://publications.usp.org/</w:t>
        </w:r>
      </w:hyperlink>
    </w:p>
    <w:p w14:paraId="082BD720" w14:textId="1E489197" w:rsidR="00151CAA" w:rsidRDefault="00151CAA" w:rsidP="003F5429">
      <w:pPr>
        <w:ind w:left="284" w:hanging="284"/>
        <w:rPr>
          <w:rStyle w:val="Hyperlink"/>
          <w:sz w:val="20"/>
          <w:szCs w:val="20"/>
        </w:rPr>
      </w:pPr>
    </w:p>
    <w:p w14:paraId="55CCFD10" w14:textId="3229B4E8" w:rsidR="00151CAA" w:rsidRDefault="00151CAA" w:rsidP="00151CAA">
      <w:pPr>
        <w:rPr>
          <w:sz w:val="20"/>
          <w:szCs w:val="20"/>
          <w:highlight w:val="yellow"/>
        </w:rPr>
      </w:pPr>
      <w:r>
        <w:rPr>
          <w:sz w:val="20"/>
          <w:szCs w:val="20"/>
        </w:rPr>
        <w:t>Uhm T-B</w:t>
      </w:r>
      <w:r w:rsidRPr="00BF446A">
        <w:rPr>
          <w:sz w:val="20"/>
          <w:szCs w:val="20"/>
        </w:rPr>
        <w:t xml:space="preserve">, </w:t>
      </w:r>
      <w:r>
        <w:rPr>
          <w:sz w:val="20"/>
          <w:szCs w:val="20"/>
        </w:rPr>
        <w:t xml:space="preserve">Chung MS, Lee SH, Gourronc F, Housen I, Kim JH, van Beeumen J, Haye B, Vandenhaute </w:t>
      </w:r>
      <w:r>
        <w:rPr>
          <w:sz w:val="20"/>
          <w:szCs w:val="20"/>
        </w:rPr>
        <w:lastRenderedPageBreak/>
        <w:t>J</w:t>
      </w:r>
      <w:r w:rsidRPr="00BF446A">
        <w:rPr>
          <w:sz w:val="20"/>
          <w:szCs w:val="20"/>
        </w:rPr>
        <w:t xml:space="preserve"> (19</w:t>
      </w:r>
      <w:r>
        <w:rPr>
          <w:sz w:val="20"/>
          <w:szCs w:val="20"/>
        </w:rPr>
        <w:t>99</w:t>
      </w:r>
      <w:r w:rsidRPr="00BF446A">
        <w:rPr>
          <w:sz w:val="20"/>
          <w:szCs w:val="20"/>
        </w:rPr>
        <w:t xml:space="preserve">) </w:t>
      </w:r>
      <w:r>
        <w:rPr>
          <w:sz w:val="20"/>
          <w:szCs w:val="20"/>
        </w:rPr>
        <w:t xml:space="preserve">Purification and characterization of </w:t>
      </w:r>
      <w:r w:rsidRPr="00151CAA">
        <w:rPr>
          <w:i/>
          <w:sz w:val="20"/>
          <w:szCs w:val="20"/>
        </w:rPr>
        <w:t>Aspergillus ficuum</w:t>
      </w:r>
      <w:r>
        <w:rPr>
          <w:sz w:val="20"/>
          <w:szCs w:val="20"/>
        </w:rPr>
        <w:t xml:space="preserve"> endoinulinase.</w:t>
      </w:r>
      <w:r w:rsidRPr="00BF446A">
        <w:rPr>
          <w:sz w:val="20"/>
          <w:szCs w:val="20"/>
        </w:rPr>
        <w:t xml:space="preserve"> </w:t>
      </w:r>
      <w:r w:rsidR="0070258F">
        <w:rPr>
          <w:sz w:val="20"/>
          <w:szCs w:val="20"/>
        </w:rPr>
        <w:t>Biosci Biotechnol Biochem.</w:t>
      </w:r>
      <w:r w:rsidRPr="00BF446A">
        <w:rPr>
          <w:sz w:val="20"/>
          <w:szCs w:val="20"/>
        </w:rPr>
        <w:t xml:space="preserve"> </w:t>
      </w:r>
      <w:r w:rsidR="0070258F">
        <w:rPr>
          <w:sz w:val="20"/>
          <w:szCs w:val="20"/>
        </w:rPr>
        <w:t>63</w:t>
      </w:r>
      <w:r w:rsidRPr="00BF446A">
        <w:rPr>
          <w:sz w:val="20"/>
          <w:szCs w:val="20"/>
        </w:rPr>
        <w:t>(</w:t>
      </w:r>
      <w:r w:rsidR="0070258F">
        <w:rPr>
          <w:sz w:val="20"/>
          <w:szCs w:val="20"/>
        </w:rPr>
        <w:t>1</w:t>
      </w:r>
      <w:r w:rsidRPr="00BF446A">
        <w:rPr>
          <w:sz w:val="20"/>
          <w:szCs w:val="20"/>
        </w:rPr>
        <w:t>)</w:t>
      </w:r>
      <w:r w:rsidR="0070258F">
        <w:rPr>
          <w:sz w:val="20"/>
          <w:szCs w:val="20"/>
        </w:rPr>
        <w:t>:146-151</w:t>
      </w:r>
    </w:p>
    <w:p w14:paraId="61060B12" w14:textId="77777777" w:rsidR="00151CAA" w:rsidRPr="00332462" w:rsidRDefault="00151CAA" w:rsidP="003F5429">
      <w:pPr>
        <w:ind w:left="284" w:hanging="284"/>
        <w:rPr>
          <w:rStyle w:val="Hyperlink"/>
          <w:sz w:val="20"/>
          <w:szCs w:val="20"/>
        </w:rPr>
      </w:pPr>
    </w:p>
    <w:sectPr w:rsidR="00151CAA" w:rsidRPr="0033246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9668" w14:textId="77777777" w:rsidR="00077487" w:rsidRDefault="00077487">
      <w:r>
        <w:separator/>
      </w:r>
    </w:p>
  </w:endnote>
  <w:endnote w:type="continuationSeparator" w:id="0">
    <w:p w14:paraId="1D533587" w14:textId="77777777" w:rsidR="00077487" w:rsidRDefault="00077487">
      <w:r>
        <w:continuationSeparator/>
      </w:r>
    </w:p>
  </w:endnote>
  <w:endnote w:type="continuationNotice" w:id="1">
    <w:p w14:paraId="5D30A153" w14:textId="77777777" w:rsidR="00077487" w:rsidRDefault="00077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077487" w:rsidRDefault="0007748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077487" w:rsidRDefault="0007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218D944D" w:rsidR="00077487" w:rsidRDefault="0007748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1C1E">
      <w:rPr>
        <w:rStyle w:val="PageNumber"/>
        <w:noProof/>
      </w:rPr>
      <w:t>i</w:t>
    </w:r>
    <w:r>
      <w:rPr>
        <w:rStyle w:val="PageNumber"/>
      </w:rPr>
      <w:fldChar w:fldCharType="end"/>
    </w:r>
  </w:p>
  <w:p w14:paraId="3B547F5C" w14:textId="77777777" w:rsidR="00077487" w:rsidRDefault="000774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6BEC" w14:textId="77777777" w:rsidR="00077487" w:rsidRDefault="00077487">
      <w:r>
        <w:separator/>
      </w:r>
    </w:p>
  </w:footnote>
  <w:footnote w:type="continuationSeparator" w:id="0">
    <w:p w14:paraId="300BEEEE" w14:textId="77777777" w:rsidR="00077487" w:rsidRDefault="00077487">
      <w:r>
        <w:continuationSeparator/>
      </w:r>
    </w:p>
  </w:footnote>
  <w:footnote w:type="continuationNotice" w:id="1">
    <w:p w14:paraId="44EC211E" w14:textId="77777777" w:rsidR="00077487" w:rsidRDefault="00077487"/>
  </w:footnote>
  <w:footnote w:id="2">
    <w:p w14:paraId="70318331" w14:textId="4FEFF12B" w:rsidR="00077487" w:rsidRPr="00B714B5" w:rsidRDefault="00077487" w:rsidP="001E6A7B">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0AF70991" w14:textId="71ADFCAB" w:rsidR="00077487" w:rsidRPr="00D2768A" w:rsidRDefault="00077487">
      <w:pPr>
        <w:pStyle w:val="FootnoteText"/>
        <w:rPr>
          <w:lang w:val="en-AU"/>
        </w:rPr>
      </w:pPr>
      <w:r>
        <w:rPr>
          <w:rStyle w:val="FootnoteReference"/>
        </w:rPr>
        <w:footnoteRef/>
      </w:r>
      <w:r>
        <w:t xml:space="preserve"> </w:t>
      </w:r>
      <w:r>
        <w:rPr>
          <w:lang w:val="en-AU"/>
        </w:rPr>
        <w:t>As the accepted IUBMB name, with the EC number EC 3.2.1.7, ‘inulinase’ is the name used in the variation to the Code for this enzyme.</w:t>
      </w:r>
    </w:p>
  </w:footnote>
  <w:footnote w:id="4">
    <w:p w14:paraId="3682EACF" w14:textId="2BDB5227" w:rsidR="00077487" w:rsidRPr="006D0450" w:rsidRDefault="00077487" w:rsidP="001E6A7B">
      <w:pPr>
        <w:pStyle w:val="FootnoteText"/>
        <w:rPr>
          <w:lang w:val="en-AU"/>
        </w:rPr>
      </w:pPr>
      <w:r>
        <w:rPr>
          <w:rStyle w:val="FootnoteReference"/>
        </w:rPr>
        <w:footnoteRef/>
      </w:r>
      <w:r>
        <w:t xml:space="preserve"> </w:t>
      </w:r>
      <w:r>
        <w:rPr>
          <w:lang w:val="en-AU"/>
        </w:rPr>
        <w:t xml:space="preserve">Chemical Abstracts Service. </w:t>
      </w:r>
    </w:p>
  </w:footnote>
  <w:footnote w:id="5">
    <w:p w14:paraId="3A1222EF" w14:textId="753D381B" w:rsidR="00077487" w:rsidRPr="006B08A1" w:rsidRDefault="00077487" w:rsidP="000268A9">
      <w:pPr>
        <w:pStyle w:val="FootnoteText"/>
        <w:rPr>
          <w:lang w:val="en-AU"/>
        </w:rPr>
      </w:pPr>
      <w:r>
        <w:rPr>
          <w:rStyle w:val="FootnoteReference"/>
        </w:rPr>
        <w:footnoteRef/>
      </w:r>
      <w:r>
        <w:t xml:space="preserve"> </w:t>
      </w:r>
      <w:r>
        <w:rPr>
          <w:lang w:val="en-AU"/>
        </w:rPr>
        <w:t xml:space="preserve">The </w:t>
      </w:r>
      <w:r w:rsidR="001B6E2D">
        <w:rPr>
          <w:lang w:val="en-AU"/>
        </w:rPr>
        <w:t xml:space="preserve">method by which the enzyme activity is measured, including an explanation of the units has </w:t>
      </w:r>
      <w:r>
        <w:rPr>
          <w:lang w:val="en-AU"/>
        </w:rPr>
        <w:t>been provided as part of the applicant’s CCI material.</w:t>
      </w:r>
    </w:p>
  </w:footnote>
  <w:footnote w:id="6">
    <w:p w14:paraId="66262022" w14:textId="77777777" w:rsidR="00077487" w:rsidRPr="00E9306A" w:rsidRDefault="00077487" w:rsidP="00E9306A">
      <w:pPr>
        <w:pStyle w:val="FootnoteText"/>
        <w:rPr>
          <w:lang w:val="en-AU"/>
        </w:rPr>
      </w:pPr>
      <w:r>
        <w:rPr>
          <w:rStyle w:val="FootnoteReference"/>
        </w:rPr>
        <w:footnoteRef/>
      </w:r>
      <w:r>
        <w:t xml:space="preserve"> </w:t>
      </w:r>
      <w:hyperlink r:id="rId1" w:history="1">
        <w:r w:rsidRPr="00E9306A">
          <w:rPr>
            <w:rStyle w:val="Hyperlink"/>
            <w:sz w:val="18"/>
          </w:rPr>
          <w:t>https://blast.ncbi.nlm.nih.gov/Blast.cgi?PAGE=Proteins</w:t>
        </w:r>
      </w:hyperlink>
      <w:r w:rsidRPr="00E9306A">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9E4B" w14:textId="4A07ABF1" w:rsidR="00077487" w:rsidRPr="007D03EA" w:rsidRDefault="00077487" w:rsidP="007D03EA">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077487" w:rsidRDefault="0007748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3"/>
  </w:num>
  <w:num w:numId="7">
    <w:abstractNumId w:val="4"/>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42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D7"/>
    <w:rsid w:val="00001CF2"/>
    <w:rsid w:val="0000247B"/>
    <w:rsid w:val="000035E4"/>
    <w:rsid w:val="0000469B"/>
    <w:rsid w:val="00004776"/>
    <w:rsid w:val="00006D46"/>
    <w:rsid w:val="00010938"/>
    <w:rsid w:val="00011152"/>
    <w:rsid w:val="00016F39"/>
    <w:rsid w:val="00017EA0"/>
    <w:rsid w:val="000211B6"/>
    <w:rsid w:val="000234AB"/>
    <w:rsid w:val="00023EF3"/>
    <w:rsid w:val="000268A9"/>
    <w:rsid w:val="00027DCA"/>
    <w:rsid w:val="0003249B"/>
    <w:rsid w:val="00034296"/>
    <w:rsid w:val="00035FF3"/>
    <w:rsid w:val="00042B1D"/>
    <w:rsid w:val="000475B5"/>
    <w:rsid w:val="00047870"/>
    <w:rsid w:val="00051021"/>
    <w:rsid w:val="00051ED9"/>
    <w:rsid w:val="000544D6"/>
    <w:rsid w:val="00057181"/>
    <w:rsid w:val="0006154B"/>
    <w:rsid w:val="00063D81"/>
    <w:rsid w:val="0006473A"/>
    <w:rsid w:val="0006498B"/>
    <w:rsid w:val="00064B2D"/>
    <w:rsid w:val="00065F1F"/>
    <w:rsid w:val="000666F7"/>
    <w:rsid w:val="00067084"/>
    <w:rsid w:val="00070CD2"/>
    <w:rsid w:val="00071E81"/>
    <w:rsid w:val="00072456"/>
    <w:rsid w:val="00075A5F"/>
    <w:rsid w:val="00076D33"/>
    <w:rsid w:val="00077487"/>
    <w:rsid w:val="000828B1"/>
    <w:rsid w:val="00083454"/>
    <w:rsid w:val="00092CDA"/>
    <w:rsid w:val="00093A1A"/>
    <w:rsid w:val="00094C8C"/>
    <w:rsid w:val="00095A54"/>
    <w:rsid w:val="000A1686"/>
    <w:rsid w:val="000A27E9"/>
    <w:rsid w:val="000A3D8B"/>
    <w:rsid w:val="000A5DF8"/>
    <w:rsid w:val="000B29C2"/>
    <w:rsid w:val="000B577E"/>
    <w:rsid w:val="000B6AF2"/>
    <w:rsid w:val="000C1E18"/>
    <w:rsid w:val="000C1E7A"/>
    <w:rsid w:val="000C43C7"/>
    <w:rsid w:val="000C4EB9"/>
    <w:rsid w:val="000C6117"/>
    <w:rsid w:val="000C787E"/>
    <w:rsid w:val="000D218D"/>
    <w:rsid w:val="000D41BE"/>
    <w:rsid w:val="000D4B0D"/>
    <w:rsid w:val="000D6FAC"/>
    <w:rsid w:val="000D6FD4"/>
    <w:rsid w:val="000E0AE4"/>
    <w:rsid w:val="000E3A23"/>
    <w:rsid w:val="000E3DBC"/>
    <w:rsid w:val="000E3EDB"/>
    <w:rsid w:val="000E4294"/>
    <w:rsid w:val="000E43C2"/>
    <w:rsid w:val="000F0CD3"/>
    <w:rsid w:val="000F45CB"/>
    <w:rsid w:val="0010316B"/>
    <w:rsid w:val="0010432F"/>
    <w:rsid w:val="00104796"/>
    <w:rsid w:val="00106353"/>
    <w:rsid w:val="00113CE3"/>
    <w:rsid w:val="001151F7"/>
    <w:rsid w:val="00117522"/>
    <w:rsid w:val="00120DD5"/>
    <w:rsid w:val="0012110B"/>
    <w:rsid w:val="001238EC"/>
    <w:rsid w:val="001302F6"/>
    <w:rsid w:val="00132699"/>
    <w:rsid w:val="00134F5B"/>
    <w:rsid w:val="00135005"/>
    <w:rsid w:val="00135810"/>
    <w:rsid w:val="00144C36"/>
    <w:rsid w:val="00145138"/>
    <w:rsid w:val="001503AD"/>
    <w:rsid w:val="001516A3"/>
    <w:rsid w:val="00151CAA"/>
    <w:rsid w:val="001542D8"/>
    <w:rsid w:val="00156581"/>
    <w:rsid w:val="0016093B"/>
    <w:rsid w:val="00163D9F"/>
    <w:rsid w:val="00170634"/>
    <w:rsid w:val="00172659"/>
    <w:rsid w:val="00172688"/>
    <w:rsid w:val="00180C41"/>
    <w:rsid w:val="00180E3E"/>
    <w:rsid w:val="00182C4C"/>
    <w:rsid w:val="00183B56"/>
    <w:rsid w:val="00183BF7"/>
    <w:rsid w:val="00190327"/>
    <w:rsid w:val="001922C5"/>
    <w:rsid w:val="00197D8D"/>
    <w:rsid w:val="001A1A75"/>
    <w:rsid w:val="001A65FB"/>
    <w:rsid w:val="001A6E5F"/>
    <w:rsid w:val="001A6F37"/>
    <w:rsid w:val="001A7E9A"/>
    <w:rsid w:val="001B6E2D"/>
    <w:rsid w:val="001C013D"/>
    <w:rsid w:val="001C0E55"/>
    <w:rsid w:val="001C27A3"/>
    <w:rsid w:val="001C2F88"/>
    <w:rsid w:val="001C5015"/>
    <w:rsid w:val="001C5295"/>
    <w:rsid w:val="001C65B0"/>
    <w:rsid w:val="001C758A"/>
    <w:rsid w:val="001D16F6"/>
    <w:rsid w:val="001D7224"/>
    <w:rsid w:val="001D7EE4"/>
    <w:rsid w:val="001E09FA"/>
    <w:rsid w:val="001E0FC6"/>
    <w:rsid w:val="001E238E"/>
    <w:rsid w:val="001E63FB"/>
    <w:rsid w:val="001E6585"/>
    <w:rsid w:val="001E6A7B"/>
    <w:rsid w:val="001E6D75"/>
    <w:rsid w:val="001F1C12"/>
    <w:rsid w:val="001F2EE1"/>
    <w:rsid w:val="00202642"/>
    <w:rsid w:val="00203540"/>
    <w:rsid w:val="00204559"/>
    <w:rsid w:val="0021612B"/>
    <w:rsid w:val="00217412"/>
    <w:rsid w:val="0022083A"/>
    <w:rsid w:val="00221D07"/>
    <w:rsid w:val="0022211D"/>
    <w:rsid w:val="00223358"/>
    <w:rsid w:val="002253CF"/>
    <w:rsid w:val="00227E4A"/>
    <w:rsid w:val="00232D88"/>
    <w:rsid w:val="0023615C"/>
    <w:rsid w:val="0023654B"/>
    <w:rsid w:val="00240733"/>
    <w:rsid w:val="00240762"/>
    <w:rsid w:val="002430DF"/>
    <w:rsid w:val="0024360D"/>
    <w:rsid w:val="0024582E"/>
    <w:rsid w:val="00245C56"/>
    <w:rsid w:val="00246157"/>
    <w:rsid w:val="00250C93"/>
    <w:rsid w:val="002519C8"/>
    <w:rsid w:val="00253B1A"/>
    <w:rsid w:val="002540B9"/>
    <w:rsid w:val="002547EF"/>
    <w:rsid w:val="0025507F"/>
    <w:rsid w:val="00256D65"/>
    <w:rsid w:val="002606FB"/>
    <w:rsid w:val="0026121B"/>
    <w:rsid w:val="00261824"/>
    <w:rsid w:val="002627E7"/>
    <w:rsid w:val="00263497"/>
    <w:rsid w:val="00271F00"/>
    <w:rsid w:val="00273A80"/>
    <w:rsid w:val="00276933"/>
    <w:rsid w:val="00276FED"/>
    <w:rsid w:val="002812AF"/>
    <w:rsid w:val="002813A3"/>
    <w:rsid w:val="0028146D"/>
    <w:rsid w:val="0028261F"/>
    <w:rsid w:val="0028325F"/>
    <w:rsid w:val="00287366"/>
    <w:rsid w:val="00287CCB"/>
    <w:rsid w:val="00290C1C"/>
    <w:rsid w:val="0029204E"/>
    <w:rsid w:val="00293FAF"/>
    <w:rsid w:val="00294233"/>
    <w:rsid w:val="0029631C"/>
    <w:rsid w:val="002A0194"/>
    <w:rsid w:val="002A10C7"/>
    <w:rsid w:val="002A3314"/>
    <w:rsid w:val="002A5F8B"/>
    <w:rsid w:val="002A7F6C"/>
    <w:rsid w:val="002B5610"/>
    <w:rsid w:val="002B7292"/>
    <w:rsid w:val="002C67CF"/>
    <w:rsid w:val="002D1917"/>
    <w:rsid w:val="002D2E67"/>
    <w:rsid w:val="002D6809"/>
    <w:rsid w:val="002D68AB"/>
    <w:rsid w:val="002E0950"/>
    <w:rsid w:val="002E376D"/>
    <w:rsid w:val="002E5283"/>
    <w:rsid w:val="002E740B"/>
    <w:rsid w:val="002F04A4"/>
    <w:rsid w:val="002F0955"/>
    <w:rsid w:val="002F09E6"/>
    <w:rsid w:val="002F1B7A"/>
    <w:rsid w:val="002F3370"/>
    <w:rsid w:val="002F4CE2"/>
    <w:rsid w:val="002F6488"/>
    <w:rsid w:val="002F7801"/>
    <w:rsid w:val="003003D1"/>
    <w:rsid w:val="003012BD"/>
    <w:rsid w:val="00303A1A"/>
    <w:rsid w:val="00306C60"/>
    <w:rsid w:val="0031084A"/>
    <w:rsid w:val="00310BE8"/>
    <w:rsid w:val="00311863"/>
    <w:rsid w:val="00320839"/>
    <w:rsid w:val="003213F9"/>
    <w:rsid w:val="00323DBF"/>
    <w:rsid w:val="00323F99"/>
    <w:rsid w:val="0032455C"/>
    <w:rsid w:val="003247B8"/>
    <w:rsid w:val="00326D85"/>
    <w:rsid w:val="00326F6E"/>
    <w:rsid w:val="003304EA"/>
    <w:rsid w:val="003309A8"/>
    <w:rsid w:val="00330C6C"/>
    <w:rsid w:val="00332462"/>
    <w:rsid w:val="00332B12"/>
    <w:rsid w:val="00334EC4"/>
    <w:rsid w:val="00345697"/>
    <w:rsid w:val="0035009F"/>
    <w:rsid w:val="0035149D"/>
    <w:rsid w:val="00351B07"/>
    <w:rsid w:val="00352CF2"/>
    <w:rsid w:val="0035398A"/>
    <w:rsid w:val="00356021"/>
    <w:rsid w:val="00357EBF"/>
    <w:rsid w:val="0036039C"/>
    <w:rsid w:val="00364841"/>
    <w:rsid w:val="003661A3"/>
    <w:rsid w:val="003663CE"/>
    <w:rsid w:val="0037063D"/>
    <w:rsid w:val="003706A7"/>
    <w:rsid w:val="00371B29"/>
    <w:rsid w:val="0037240F"/>
    <w:rsid w:val="00373194"/>
    <w:rsid w:val="00374226"/>
    <w:rsid w:val="00375EFC"/>
    <w:rsid w:val="0037656B"/>
    <w:rsid w:val="00384B5B"/>
    <w:rsid w:val="00391769"/>
    <w:rsid w:val="00393CE8"/>
    <w:rsid w:val="003953E1"/>
    <w:rsid w:val="003956B3"/>
    <w:rsid w:val="003A102E"/>
    <w:rsid w:val="003A4234"/>
    <w:rsid w:val="003A4DEF"/>
    <w:rsid w:val="003A5C2C"/>
    <w:rsid w:val="003A5C2F"/>
    <w:rsid w:val="003A634B"/>
    <w:rsid w:val="003A68BE"/>
    <w:rsid w:val="003A75E2"/>
    <w:rsid w:val="003B1805"/>
    <w:rsid w:val="003B1EC3"/>
    <w:rsid w:val="003B2BD8"/>
    <w:rsid w:val="003B310D"/>
    <w:rsid w:val="003B3C9D"/>
    <w:rsid w:val="003B4F6D"/>
    <w:rsid w:val="003B78E0"/>
    <w:rsid w:val="003B78F8"/>
    <w:rsid w:val="003C3AB2"/>
    <w:rsid w:val="003C4969"/>
    <w:rsid w:val="003C5EF4"/>
    <w:rsid w:val="003C65AE"/>
    <w:rsid w:val="003D1FD4"/>
    <w:rsid w:val="003E20CC"/>
    <w:rsid w:val="003E31B8"/>
    <w:rsid w:val="003E41D5"/>
    <w:rsid w:val="003E4482"/>
    <w:rsid w:val="003E46BA"/>
    <w:rsid w:val="003E494F"/>
    <w:rsid w:val="003E7D22"/>
    <w:rsid w:val="003F5429"/>
    <w:rsid w:val="003F601F"/>
    <w:rsid w:val="003F74C1"/>
    <w:rsid w:val="004001CE"/>
    <w:rsid w:val="00402663"/>
    <w:rsid w:val="00404BD8"/>
    <w:rsid w:val="00405838"/>
    <w:rsid w:val="00405B1A"/>
    <w:rsid w:val="00410C76"/>
    <w:rsid w:val="00411907"/>
    <w:rsid w:val="00413AAD"/>
    <w:rsid w:val="00413B93"/>
    <w:rsid w:val="00413CA8"/>
    <w:rsid w:val="00413F41"/>
    <w:rsid w:val="00417EE3"/>
    <w:rsid w:val="004207EB"/>
    <w:rsid w:val="00422C38"/>
    <w:rsid w:val="004249F4"/>
    <w:rsid w:val="00426F2C"/>
    <w:rsid w:val="0043024B"/>
    <w:rsid w:val="00431388"/>
    <w:rsid w:val="00435466"/>
    <w:rsid w:val="004369E9"/>
    <w:rsid w:val="004370A4"/>
    <w:rsid w:val="00437276"/>
    <w:rsid w:val="004405C9"/>
    <w:rsid w:val="00440962"/>
    <w:rsid w:val="00444AE3"/>
    <w:rsid w:val="00445284"/>
    <w:rsid w:val="004455A7"/>
    <w:rsid w:val="00446B9B"/>
    <w:rsid w:val="00451D29"/>
    <w:rsid w:val="004560E9"/>
    <w:rsid w:val="00456B54"/>
    <w:rsid w:val="00460F2A"/>
    <w:rsid w:val="00462E40"/>
    <w:rsid w:val="00464643"/>
    <w:rsid w:val="00464F1C"/>
    <w:rsid w:val="00466B6F"/>
    <w:rsid w:val="004676D2"/>
    <w:rsid w:val="004726A3"/>
    <w:rsid w:val="0048315D"/>
    <w:rsid w:val="00485BAC"/>
    <w:rsid w:val="00485E49"/>
    <w:rsid w:val="00486565"/>
    <w:rsid w:val="00486793"/>
    <w:rsid w:val="00493373"/>
    <w:rsid w:val="004A2037"/>
    <w:rsid w:val="004B5682"/>
    <w:rsid w:val="004B7825"/>
    <w:rsid w:val="004C06B5"/>
    <w:rsid w:val="004C0973"/>
    <w:rsid w:val="004C1688"/>
    <w:rsid w:val="004C190B"/>
    <w:rsid w:val="004C2CE7"/>
    <w:rsid w:val="004C3F8D"/>
    <w:rsid w:val="004C453C"/>
    <w:rsid w:val="004C52B0"/>
    <w:rsid w:val="004C52FD"/>
    <w:rsid w:val="004D187A"/>
    <w:rsid w:val="004D2314"/>
    <w:rsid w:val="004D26C3"/>
    <w:rsid w:val="004D5CA4"/>
    <w:rsid w:val="004D668E"/>
    <w:rsid w:val="004D74BA"/>
    <w:rsid w:val="004E0B91"/>
    <w:rsid w:val="004E5B7C"/>
    <w:rsid w:val="004F4F98"/>
    <w:rsid w:val="004F51CF"/>
    <w:rsid w:val="004F69F6"/>
    <w:rsid w:val="004F75E3"/>
    <w:rsid w:val="004F79AC"/>
    <w:rsid w:val="005017CF"/>
    <w:rsid w:val="00501957"/>
    <w:rsid w:val="00503A80"/>
    <w:rsid w:val="00503C2B"/>
    <w:rsid w:val="00504BE7"/>
    <w:rsid w:val="00505C4F"/>
    <w:rsid w:val="00507038"/>
    <w:rsid w:val="00507145"/>
    <w:rsid w:val="005071E5"/>
    <w:rsid w:val="00513335"/>
    <w:rsid w:val="0051544E"/>
    <w:rsid w:val="00515F0E"/>
    <w:rsid w:val="005207D8"/>
    <w:rsid w:val="00521FAD"/>
    <w:rsid w:val="00524530"/>
    <w:rsid w:val="005245EE"/>
    <w:rsid w:val="00526B67"/>
    <w:rsid w:val="00526B97"/>
    <w:rsid w:val="005302E1"/>
    <w:rsid w:val="0053464E"/>
    <w:rsid w:val="005422DF"/>
    <w:rsid w:val="00542449"/>
    <w:rsid w:val="0054272D"/>
    <w:rsid w:val="00550E3D"/>
    <w:rsid w:val="00552E2B"/>
    <w:rsid w:val="00561645"/>
    <w:rsid w:val="00562917"/>
    <w:rsid w:val="00564C89"/>
    <w:rsid w:val="0056541B"/>
    <w:rsid w:val="0056591F"/>
    <w:rsid w:val="00567FE6"/>
    <w:rsid w:val="0057615C"/>
    <w:rsid w:val="0058045C"/>
    <w:rsid w:val="00583354"/>
    <w:rsid w:val="00586228"/>
    <w:rsid w:val="00597140"/>
    <w:rsid w:val="005A1D97"/>
    <w:rsid w:val="005A43CF"/>
    <w:rsid w:val="005A58F3"/>
    <w:rsid w:val="005A6456"/>
    <w:rsid w:val="005B2BB4"/>
    <w:rsid w:val="005B6AF4"/>
    <w:rsid w:val="005B7982"/>
    <w:rsid w:val="005B7A73"/>
    <w:rsid w:val="005C04CB"/>
    <w:rsid w:val="005C6E9E"/>
    <w:rsid w:val="005C7964"/>
    <w:rsid w:val="005D15A9"/>
    <w:rsid w:val="005D16AD"/>
    <w:rsid w:val="005D4A5D"/>
    <w:rsid w:val="005D5AD8"/>
    <w:rsid w:val="005D63C8"/>
    <w:rsid w:val="005D6743"/>
    <w:rsid w:val="005D72E1"/>
    <w:rsid w:val="005E12AB"/>
    <w:rsid w:val="005E150C"/>
    <w:rsid w:val="005E2C43"/>
    <w:rsid w:val="005E3358"/>
    <w:rsid w:val="005E6E16"/>
    <w:rsid w:val="005F022B"/>
    <w:rsid w:val="005F034D"/>
    <w:rsid w:val="005F2933"/>
    <w:rsid w:val="005F2BAC"/>
    <w:rsid w:val="005F400E"/>
    <w:rsid w:val="005F5C7D"/>
    <w:rsid w:val="005F7342"/>
    <w:rsid w:val="005F7E28"/>
    <w:rsid w:val="006009E7"/>
    <w:rsid w:val="00603A08"/>
    <w:rsid w:val="00606F73"/>
    <w:rsid w:val="006100F4"/>
    <w:rsid w:val="00610A3C"/>
    <w:rsid w:val="0061585B"/>
    <w:rsid w:val="006167F5"/>
    <w:rsid w:val="00617EC9"/>
    <w:rsid w:val="00622D1F"/>
    <w:rsid w:val="00624371"/>
    <w:rsid w:val="00624E2B"/>
    <w:rsid w:val="00624E45"/>
    <w:rsid w:val="00627F48"/>
    <w:rsid w:val="00630C23"/>
    <w:rsid w:val="00632445"/>
    <w:rsid w:val="00632A7A"/>
    <w:rsid w:val="00632CE2"/>
    <w:rsid w:val="006359E9"/>
    <w:rsid w:val="0063675F"/>
    <w:rsid w:val="006431B8"/>
    <w:rsid w:val="00644880"/>
    <w:rsid w:val="00644A7C"/>
    <w:rsid w:val="006459AA"/>
    <w:rsid w:val="006460AB"/>
    <w:rsid w:val="00647302"/>
    <w:rsid w:val="0065097A"/>
    <w:rsid w:val="0065177D"/>
    <w:rsid w:val="00651E87"/>
    <w:rsid w:val="00653177"/>
    <w:rsid w:val="00653592"/>
    <w:rsid w:val="00653E10"/>
    <w:rsid w:val="00656078"/>
    <w:rsid w:val="0065740D"/>
    <w:rsid w:val="00663108"/>
    <w:rsid w:val="006636AA"/>
    <w:rsid w:val="00663FCF"/>
    <w:rsid w:val="006652A2"/>
    <w:rsid w:val="00670F70"/>
    <w:rsid w:val="00672C1A"/>
    <w:rsid w:val="006818F2"/>
    <w:rsid w:val="0068457F"/>
    <w:rsid w:val="00687902"/>
    <w:rsid w:val="00687956"/>
    <w:rsid w:val="00690206"/>
    <w:rsid w:val="00692161"/>
    <w:rsid w:val="006937FF"/>
    <w:rsid w:val="0069459A"/>
    <w:rsid w:val="006963C9"/>
    <w:rsid w:val="006A2E22"/>
    <w:rsid w:val="006A48A7"/>
    <w:rsid w:val="006A506C"/>
    <w:rsid w:val="006A75E9"/>
    <w:rsid w:val="006A771C"/>
    <w:rsid w:val="006A7DF3"/>
    <w:rsid w:val="006B08A1"/>
    <w:rsid w:val="006B0F02"/>
    <w:rsid w:val="006B0FDC"/>
    <w:rsid w:val="006B4BA1"/>
    <w:rsid w:val="006B5EBE"/>
    <w:rsid w:val="006B6BC1"/>
    <w:rsid w:val="006B7FB9"/>
    <w:rsid w:val="006C1414"/>
    <w:rsid w:val="006C2320"/>
    <w:rsid w:val="006C3F26"/>
    <w:rsid w:val="006C5CF5"/>
    <w:rsid w:val="006C5F80"/>
    <w:rsid w:val="006D70C7"/>
    <w:rsid w:val="006D76CD"/>
    <w:rsid w:val="006E102A"/>
    <w:rsid w:val="006E134F"/>
    <w:rsid w:val="006E3847"/>
    <w:rsid w:val="006F0A8F"/>
    <w:rsid w:val="006F4A82"/>
    <w:rsid w:val="006F5A19"/>
    <w:rsid w:val="006F78E3"/>
    <w:rsid w:val="006F799F"/>
    <w:rsid w:val="0070258F"/>
    <w:rsid w:val="007026B5"/>
    <w:rsid w:val="0070373B"/>
    <w:rsid w:val="0070421A"/>
    <w:rsid w:val="00706A9E"/>
    <w:rsid w:val="00707606"/>
    <w:rsid w:val="007100EB"/>
    <w:rsid w:val="00710A2C"/>
    <w:rsid w:val="00714724"/>
    <w:rsid w:val="007159D8"/>
    <w:rsid w:val="0071647E"/>
    <w:rsid w:val="00716DDB"/>
    <w:rsid w:val="0072301D"/>
    <w:rsid w:val="00724FA4"/>
    <w:rsid w:val="007259A1"/>
    <w:rsid w:val="00730800"/>
    <w:rsid w:val="00730E11"/>
    <w:rsid w:val="007352B9"/>
    <w:rsid w:val="00735B44"/>
    <w:rsid w:val="00736D8A"/>
    <w:rsid w:val="00740601"/>
    <w:rsid w:val="00750148"/>
    <w:rsid w:val="007507DE"/>
    <w:rsid w:val="007514AA"/>
    <w:rsid w:val="00753233"/>
    <w:rsid w:val="00754AFF"/>
    <w:rsid w:val="00754BCB"/>
    <w:rsid w:val="00756C1D"/>
    <w:rsid w:val="007602AA"/>
    <w:rsid w:val="00760F0F"/>
    <w:rsid w:val="007652EF"/>
    <w:rsid w:val="00765C84"/>
    <w:rsid w:val="007711F5"/>
    <w:rsid w:val="00772BDC"/>
    <w:rsid w:val="00777538"/>
    <w:rsid w:val="00780792"/>
    <w:rsid w:val="00785016"/>
    <w:rsid w:val="007863B6"/>
    <w:rsid w:val="007872CC"/>
    <w:rsid w:val="007873D4"/>
    <w:rsid w:val="00787C01"/>
    <w:rsid w:val="0079144B"/>
    <w:rsid w:val="00793199"/>
    <w:rsid w:val="007933DC"/>
    <w:rsid w:val="00796562"/>
    <w:rsid w:val="007A04CF"/>
    <w:rsid w:val="007A44B4"/>
    <w:rsid w:val="007A6FE1"/>
    <w:rsid w:val="007A7D3D"/>
    <w:rsid w:val="007B225D"/>
    <w:rsid w:val="007B2B44"/>
    <w:rsid w:val="007B70AE"/>
    <w:rsid w:val="007B7270"/>
    <w:rsid w:val="007C174F"/>
    <w:rsid w:val="007C1C64"/>
    <w:rsid w:val="007C6ACD"/>
    <w:rsid w:val="007C7342"/>
    <w:rsid w:val="007C7FB1"/>
    <w:rsid w:val="007D0169"/>
    <w:rsid w:val="007D03EA"/>
    <w:rsid w:val="007D1BD5"/>
    <w:rsid w:val="007D2669"/>
    <w:rsid w:val="007D3F5A"/>
    <w:rsid w:val="007D4010"/>
    <w:rsid w:val="007D525D"/>
    <w:rsid w:val="007D607D"/>
    <w:rsid w:val="007D6A40"/>
    <w:rsid w:val="007E48BC"/>
    <w:rsid w:val="007E6C91"/>
    <w:rsid w:val="007E79F7"/>
    <w:rsid w:val="007F1832"/>
    <w:rsid w:val="007F3630"/>
    <w:rsid w:val="007F7C04"/>
    <w:rsid w:val="00800486"/>
    <w:rsid w:val="00800490"/>
    <w:rsid w:val="008022E9"/>
    <w:rsid w:val="00803D0C"/>
    <w:rsid w:val="00805EB3"/>
    <w:rsid w:val="00807559"/>
    <w:rsid w:val="00807E4D"/>
    <w:rsid w:val="00810C2A"/>
    <w:rsid w:val="0081196C"/>
    <w:rsid w:val="00811C1E"/>
    <w:rsid w:val="00812BF0"/>
    <w:rsid w:val="00821E30"/>
    <w:rsid w:val="00823A0F"/>
    <w:rsid w:val="008250F0"/>
    <w:rsid w:val="00836104"/>
    <w:rsid w:val="00841CF3"/>
    <w:rsid w:val="0084305A"/>
    <w:rsid w:val="008450BC"/>
    <w:rsid w:val="00850B02"/>
    <w:rsid w:val="008512E5"/>
    <w:rsid w:val="008527FC"/>
    <w:rsid w:val="0085334B"/>
    <w:rsid w:val="0085493E"/>
    <w:rsid w:val="00855336"/>
    <w:rsid w:val="00856238"/>
    <w:rsid w:val="00856B73"/>
    <w:rsid w:val="00862706"/>
    <w:rsid w:val="0086342E"/>
    <w:rsid w:val="00867E72"/>
    <w:rsid w:val="00870214"/>
    <w:rsid w:val="00870803"/>
    <w:rsid w:val="0087175E"/>
    <w:rsid w:val="00871AEA"/>
    <w:rsid w:val="00873A93"/>
    <w:rsid w:val="0088048A"/>
    <w:rsid w:val="00880F81"/>
    <w:rsid w:val="0088168B"/>
    <w:rsid w:val="00882016"/>
    <w:rsid w:val="008844F2"/>
    <w:rsid w:val="00885C51"/>
    <w:rsid w:val="00885EB0"/>
    <w:rsid w:val="00890B83"/>
    <w:rsid w:val="00891F4B"/>
    <w:rsid w:val="0089264A"/>
    <w:rsid w:val="00892B55"/>
    <w:rsid w:val="00892E57"/>
    <w:rsid w:val="008937DD"/>
    <w:rsid w:val="008958EE"/>
    <w:rsid w:val="00896B85"/>
    <w:rsid w:val="008A18C9"/>
    <w:rsid w:val="008A22BE"/>
    <w:rsid w:val="008A2862"/>
    <w:rsid w:val="008A46D5"/>
    <w:rsid w:val="008A6AB6"/>
    <w:rsid w:val="008B0CE1"/>
    <w:rsid w:val="008B1CE7"/>
    <w:rsid w:val="008B231D"/>
    <w:rsid w:val="008C1B36"/>
    <w:rsid w:val="008C5502"/>
    <w:rsid w:val="008C62C9"/>
    <w:rsid w:val="008D0084"/>
    <w:rsid w:val="008D06C6"/>
    <w:rsid w:val="008D12A1"/>
    <w:rsid w:val="008D34C3"/>
    <w:rsid w:val="008D4C01"/>
    <w:rsid w:val="008D770F"/>
    <w:rsid w:val="008D7BC2"/>
    <w:rsid w:val="008E3AA6"/>
    <w:rsid w:val="008E436B"/>
    <w:rsid w:val="008E6250"/>
    <w:rsid w:val="008F0779"/>
    <w:rsid w:val="008F161D"/>
    <w:rsid w:val="008F3749"/>
    <w:rsid w:val="008F592E"/>
    <w:rsid w:val="008F66A8"/>
    <w:rsid w:val="00902AF6"/>
    <w:rsid w:val="009113B8"/>
    <w:rsid w:val="009157CA"/>
    <w:rsid w:val="00916680"/>
    <w:rsid w:val="00917D2E"/>
    <w:rsid w:val="00920249"/>
    <w:rsid w:val="00921398"/>
    <w:rsid w:val="00924368"/>
    <w:rsid w:val="00924C80"/>
    <w:rsid w:val="009303AC"/>
    <w:rsid w:val="00932F14"/>
    <w:rsid w:val="00933156"/>
    <w:rsid w:val="0093473B"/>
    <w:rsid w:val="0094247F"/>
    <w:rsid w:val="00942D60"/>
    <w:rsid w:val="00942E4B"/>
    <w:rsid w:val="00943001"/>
    <w:rsid w:val="00946374"/>
    <w:rsid w:val="00950BFE"/>
    <w:rsid w:val="00951980"/>
    <w:rsid w:val="00957850"/>
    <w:rsid w:val="00957C43"/>
    <w:rsid w:val="0096523B"/>
    <w:rsid w:val="00966ACB"/>
    <w:rsid w:val="00966EE3"/>
    <w:rsid w:val="0097061C"/>
    <w:rsid w:val="00970CFA"/>
    <w:rsid w:val="00971A69"/>
    <w:rsid w:val="00972D06"/>
    <w:rsid w:val="00974B17"/>
    <w:rsid w:val="00975403"/>
    <w:rsid w:val="00975BCF"/>
    <w:rsid w:val="00976B59"/>
    <w:rsid w:val="00976D11"/>
    <w:rsid w:val="00977A90"/>
    <w:rsid w:val="009821E5"/>
    <w:rsid w:val="009823B2"/>
    <w:rsid w:val="0098477B"/>
    <w:rsid w:val="0098487D"/>
    <w:rsid w:val="00984DEA"/>
    <w:rsid w:val="00985DD0"/>
    <w:rsid w:val="00986ACF"/>
    <w:rsid w:val="00987E59"/>
    <w:rsid w:val="00990197"/>
    <w:rsid w:val="00994DC3"/>
    <w:rsid w:val="009A00CD"/>
    <w:rsid w:val="009A1F7A"/>
    <w:rsid w:val="009A391C"/>
    <w:rsid w:val="009A50F2"/>
    <w:rsid w:val="009A6679"/>
    <w:rsid w:val="009B420E"/>
    <w:rsid w:val="009B53C2"/>
    <w:rsid w:val="009B56C1"/>
    <w:rsid w:val="009B7097"/>
    <w:rsid w:val="009B7333"/>
    <w:rsid w:val="009C0F8A"/>
    <w:rsid w:val="009C3AF0"/>
    <w:rsid w:val="009C40FA"/>
    <w:rsid w:val="009C4ECD"/>
    <w:rsid w:val="009C7293"/>
    <w:rsid w:val="009C761D"/>
    <w:rsid w:val="009D15CF"/>
    <w:rsid w:val="009D1E9E"/>
    <w:rsid w:val="009D1F6E"/>
    <w:rsid w:val="009D45A6"/>
    <w:rsid w:val="009D5C1C"/>
    <w:rsid w:val="009E0576"/>
    <w:rsid w:val="009E09A0"/>
    <w:rsid w:val="009E0A61"/>
    <w:rsid w:val="009E3010"/>
    <w:rsid w:val="009E3446"/>
    <w:rsid w:val="009E46DF"/>
    <w:rsid w:val="009E51E7"/>
    <w:rsid w:val="009E5564"/>
    <w:rsid w:val="009E6719"/>
    <w:rsid w:val="009E7E2E"/>
    <w:rsid w:val="009F007E"/>
    <w:rsid w:val="009F0B77"/>
    <w:rsid w:val="009F0E82"/>
    <w:rsid w:val="009F1C8D"/>
    <w:rsid w:val="009F288E"/>
    <w:rsid w:val="009F47F1"/>
    <w:rsid w:val="009F4AFD"/>
    <w:rsid w:val="009F4D72"/>
    <w:rsid w:val="009F5D67"/>
    <w:rsid w:val="009F7065"/>
    <w:rsid w:val="009F76B5"/>
    <w:rsid w:val="009F7718"/>
    <w:rsid w:val="009F798E"/>
    <w:rsid w:val="00A00292"/>
    <w:rsid w:val="00A02C48"/>
    <w:rsid w:val="00A02D49"/>
    <w:rsid w:val="00A02E18"/>
    <w:rsid w:val="00A0495D"/>
    <w:rsid w:val="00A060B5"/>
    <w:rsid w:val="00A067E4"/>
    <w:rsid w:val="00A07714"/>
    <w:rsid w:val="00A11A34"/>
    <w:rsid w:val="00A11C0D"/>
    <w:rsid w:val="00A13223"/>
    <w:rsid w:val="00A17E7B"/>
    <w:rsid w:val="00A2070E"/>
    <w:rsid w:val="00A214BC"/>
    <w:rsid w:val="00A237A1"/>
    <w:rsid w:val="00A264C6"/>
    <w:rsid w:val="00A270A6"/>
    <w:rsid w:val="00A27EE6"/>
    <w:rsid w:val="00A30707"/>
    <w:rsid w:val="00A316EA"/>
    <w:rsid w:val="00A36083"/>
    <w:rsid w:val="00A4175D"/>
    <w:rsid w:val="00A42CFA"/>
    <w:rsid w:val="00A43FBA"/>
    <w:rsid w:val="00A45E57"/>
    <w:rsid w:val="00A47DE4"/>
    <w:rsid w:val="00A5055F"/>
    <w:rsid w:val="00A52671"/>
    <w:rsid w:val="00A53EE6"/>
    <w:rsid w:val="00A543E9"/>
    <w:rsid w:val="00A5485A"/>
    <w:rsid w:val="00A56DC7"/>
    <w:rsid w:val="00A6352E"/>
    <w:rsid w:val="00A63653"/>
    <w:rsid w:val="00A6613B"/>
    <w:rsid w:val="00A66EA8"/>
    <w:rsid w:val="00A710D7"/>
    <w:rsid w:val="00A7119C"/>
    <w:rsid w:val="00A74FD1"/>
    <w:rsid w:val="00A77BFA"/>
    <w:rsid w:val="00A829DE"/>
    <w:rsid w:val="00A84A58"/>
    <w:rsid w:val="00A8617E"/>
    <w:rsid w:val="00A8766C"/>
    <w:rsid w:val="00A917F1"/>
    <w:rsid w:val="00A9654E"/>
    <w:rsid w:val="00A96DA3"/>
    <w:rsid w:val="00A97974"/>
    <w:rsid w:val="00AA0F6D"/>
    <w:rsid w:val="00AA19C3"/>
    <w:rsid w:val="00AA232F"/>
    <w:rsid w:val="00AA305E"/>
    <w:rsid w:val="00AA49F5"/>
    <w:rsid w:val="00AA6116"/>
    <w:rsid w:val="00AA7751"/>
    <w:rsid w:val="00AA78CC"/>
    <w:rsid w:val="00AA79F0"/>
    <w:rsid w:val="00AB3FCF"/>
    <w:rsid w:val="00AB47E7"/>
    <w:rsid w:val="00AB5B93"/>
    <w:rsid w:val="00AB7CED"/>
    <w:rsid w:val="00AC0DE3"/>
    <w:rsid w:val="00AC71C7"/>
    <w:rsid w:val="00AD2279"/>
    <w:rsid w:val="00AD28CF"/>
    <w:rsid w:val="00AD47D0"/>
    <w:rsid w:val="00AE591C"/>
    <w:rsid w:val="00AE7FC4"/>
    <w:rsid w:val="00AF0169"/>
    <w:rsid w:val="00AF0509"/>
    <w:rsid w:val="00AF06FC"/>
    <w:rsid w:val="00AF3391"/>
    <w:rsid w:val="00AF339B"/>
    <w:rsid w:val="00AF387F"/>
    <w:rsid w:val="00AF5480"/>
    <w:rsid w:val="00AF723B"/>
    <w:rsid w:val="00B00E7F"/>
    <w:rsid w:val="00B0502A"/>
    <w:rsid w:val="00B0672A"/>
    <w:rsid w:val="00B07B80"/>
    <w:rsid w:val="00B1045B"/>
    <w:rsid w:val="00B12F1E"/>
    <w:rsid w:val="00B13FF8"/>
    <w:rsid w:val="00B14420"/>
    <w:rsid w:val="00B173DA"/>
    <w:rsid w:val="00B21DCC"/>
    <w:rsid w:val="00B22C2B"/>
    <w:rsid w:val="00B23833"/>
    <w:rsid w:val="00B24985"/>
    <w:rsid w:val="00B24FF4"/>
    <w:rsid w:val="00B25CCB"/>
    <w:rsid w:val="00B25F37"/>
    <w:rsid w:val="00B2724F"/>
    <w:rsid w:val="00B30E51"/>
    <w:rsid w:val="00B31A0A"/>
    <w:rsid w:val="00B37BF0"/>
    <w:rsid w:val="00B4058D"/>
    <w:rsid w:val="00B414E8"/>
    <w:rsid w:val="00B420C0"/>
    <w:rsid w:val="00B440BE"/>
    <w:rsid w:val="00B44422"/>
    <w:rsid w:val="00B4624E"/>
    <w:rsid w:val="00B46EA0"/>
    <w:rsid w:val="00B52BB0"/>
    <w:rsid w:val="00B611FF"/>
    <w:rsid w:val="00B622AF"/>
    <w:rsid w:val="00B6291B"/>
    <w:rsid w:val="00B65DB1"/>
    <w:rsid w:val="00B66A92"/>
    <w:rsid w:val="00B710CD"/>
    <w:rsid w:val="00B72F37"/>
    <w:rsid w:val="00B731D3"/>
    <w:rsid w:val="00B737B8"/>
    <w:rsid w:val="00B77AC2"/>
    <w:rsid w:val="00B828B9"/>
    <w:rsid w:val="00B839A3"/>
    <w:rsid w:val="00B84BB0"/>
    <w:rsid w:val="00B84C26"/>
    <w:rsid w:val="00B85B7B"/>
    <w:rsid w:val="00B869CB"/>
    <w:rsid w:val="00B87E23"/>
    <w:rsid w:val="00B90086"/>
    <w:rsid w:val="00B902BD"/>
    <w:rsid w:val="00B90B14"/>
    <w:rsid w:val="00B90E4F"/>
    <w:rsid w:val="00B91C91"/>
    <w:rsid w:val="00B960BA"/>
    <w:rsid w:val="00BA24E2"/>
    <w:rsid w:val="00BA3BBE"/>
    <w:rsid w:val="00BA49E3"/>
    <w:rsid w:val="00BA7C09"/>
    <w:rsid w:val="00BB0FED"/>
    <w:rsid w:val="00BB3D62"/>
    <w:rsid w:val="00BC0D28"/>
    <w:rsid w:val="00BC0F67"/>
    <w:rsid w:val="00BC4A7E"/>
    <w:rsid w:val="00BC525E"/>
    <w:rsid w:val="00BC552D"/>
    <w:rsid w:val="00BC5F2D"/>
    <w:rsid w:val="00BD12E2"/>
    <w:rsid w:val="00BD2A39"/>
    <w:rsid w:val="00BD2E80"/>
    <w:rsid w:val="00BD3D5C"/>
    <w:rsid w:val="00BD46FD"/>
    <w:rsid w:val="00BD51E3"/>
    <w:rsid w:val="00BD7894"/>
    <w:rsid w:val="00BE11B8"/>
    <w:rsid w:val="00BE20CB"/>
    <w:rsid w:val="00BE539E"/>
    <w:rsid w:val="00BE59A5"/>
    <w:rsid w:val="00BF31D4"/>
    <w:rsid w:val="00BF3C5D"/>
    <w:rsid w:val="00BF446A"/>
    <w:rsid w:val="00BF57FF"/>
    <w:rsid w:val="00BF6631"/>
    <w:rsid w:val="00BF7FF0"/>
    <w:rsid w:val="00C05332"/>
    <w:rsid w:val="00C057F4"/>
    <w:rsid w:val="00C06675"/>
    <w:rsid w:val="00C10AB1"/>
    <w:rsid w:val="00C10C79"/>
    <w:rsid w:val="00C12502"/>
    <w:rsid w:val="00C1439B"/>
    <w:rsid w:val="00C1489C"/>
    <w:rsid w:val="00C148F5"/>
    <w:rsid w:val="00C15A6C"/>
    <w:rsid w:val="00C1733F"/>
    <w:rsid w:val="00C22FBC"/>
    <w:rsid w:val="00C23E19"/>
    <w:rsid w:val="00C255D3"/>
    <w:rsid w:val="00C26533"/>
    <w:rsid w:val="00C27D0D"/>
    <w:rsid w:val="00C3070D"/>
    <w:rsid w:val="00C30CA1"/>
    <w:rsid w:val="00C30EFF"/>
    <w:rsid w:val="00C33CE9"/>
    <w:rsid w:val="00C36578"/>
    <w:rsid w:val="00C37D19"/>
    <w:rsid w:val="00C40AA5"/>
    <w:rsid w:val="00C44053"/>
    <w:rsid w:val="00C458F1"/>
    <w:rsid w:val="00C45C16"/>
    <w:rsid w:val="00C46F70"/>
    <w:rsid w:val="00C47277"/>
    <w:rsid w:val="00C476D0"/>
    <w:rsid w:val="00C504DB"/>
    <w:rsid w:val="00C523BA"/>
    <w:rsid w:val="00C52E56"/>
    <w:rsid w:val="00C53804"/>
    <w:rsid w:val="00C53F13"/>
    <w:rsid w:val="00C57A80"/>
    <w:rsid w:val="00C60138"/>
    <w:rsid w:val="00C61AC1"/>
    <w:rsid w:val="00C6238A"/>
    <w:rsid w:val="00C63A16"/>
    <w:rsid w:val="00C654DA"/>
    <w:rsid w:val="00C76D44"/>
    <w:rsid w:val="00C821F5"/>
    <w:rsid w:val="00C836E3"/>
    <w:rsid w:val="00C8480A"/>
    <w:rsid w:val="00C86577"/>
    <w:rsid w:val="00C86736"/>
    <w:rsid w:val="00C86D83"/>
    <w:rsid w:val="00C92E07"/>
    <w:rsid w:val="00C93895"/>
    <w:rsid w:val="00C96868"/>
    <w:rsid w:val="00C97D88"/>
    <w:rsid w:val="00CA0416"/>
    <w:rsid w:val="00CA3849"/>
    <w:rsid w:val="00CA3967"/>
    <w:rsid w:val="00CA4DC8"/>
    <w:rsid w:val="00CA51C3"/>
    <w:rsid w:val="00CA641D"/>
    <w:rsid w:val="00CA64B6"/>
    <w:rsid w:val="00CB4B9C"/>
    <w:rsid w:val="00CB4F25"/>
    <w:rsid w:val="00CC10BE"/>
    <w:rsid w:val="00CC560B"/>
    <w:rsid w:val="00CC71C8"/>
    <w:rsid w:val="00CC744B"/>
    <w:rsid w:val="00CC75E2"/>
    <w:rsid w:val="00CD46EB"/>
    <w:rsid w:val="00CD4B50"/>
    <w:rsid w:val="00CD4BD7"/>
    <w:rsid w:val="00CD7C1F"/>
    <w:rsid w:val="00CD7EBF"/>
    <w:rsid w:val="00CE7D5F"/>
    <w:rsid w:val="00CF010E"/>
    <w:rsid w:val="00CF1AFA"/>
    <w:rsid w:val="00CF2D5B"/>
    <w:rsid w:val="00CF3F16"/>
    <w:rsid w:val="00D00CA2"/>
    <w:rsid w:val="00D014D5"/>
    <w:rsid w:val="00D02E18"/>
    <w:rsid w:val="00D056F1"/>
    <w:rsid w:val="00D07F48"/>
    <w:rsid w:val="00D11171"/>
    <w:rsid w:val="00D13829"/>
    <w:rsid w:val="00D15C0C"/>
    <w:rsid w:val="00D20721"/>
    <w:rsid w:val="00D20F66"/>
    <w:rsid w:val="00D22F3C"/>
    <w:rsid w:val="00D23357"/>
    <w:rsid w:val="00D23DB6"/>
    <w:rsid w:val="00D25759"/>
    <w:rsid w:val="00D2645E"/>
    <w:rsid w:val="00D27155"/>
    <w:rsid w:val="00D2768A"/>
    <w:rsid w:val="00D3358A"/>
    <w:rsid w:val="00D374F7"/>
    <w:rsid w:val="00D37C7B"/>
    <w:rsid w:val="00D4020F"/>
    <w:rsid w:val="00D4290A"/>
    <w:rsid w:val="00D43625"/>
    <w:rsid w:val="00D43C1A"/>
    <w:rsid w:val="00D43FE6"/>
    <w:rsid w:val="00D444C0"/>
    <w:rsid w:val="00D4456E"/>
    <w:rsid w:val="00D45911"/>
    <w:rsid w:val="00D46CC8"/>
    <w:rsid w:val="00D51A95"/>
    <w:rsid w:val="00D56049"/>
    <w:rsid w:val="00D5741F"/>
    <w:rsid w:val="00D6032A"/>
    <w:rsid w:val="00D60568"/>
    <w:rsid w:val="00D63C01"/>
    <w:rsid w:val="00D7092C"/>
    <w:rsid w:val="00D70C7A"/>
    <w:rsid w:val="00D734E5"/>
    <w:rsid w:val="00D7440B"/>
    <w:rsid w:val="00D74938"/>
    <w:rsid w:val="00D75380"/>
    <w:rsid w:val="00D75447"/>
    <w:rsid w:val="00D76F0A"/>
    <w:rsid w:val="00D76F75"/>
    <w:rsid w:val="00D81D38"/>
    <w:rsid w:val="00D838D3"/>
    <w:rsid w:val="00D851CF"/>
    <w:rsid w:val="00D85DE9"/>
    <w:rsid w:val="00D85F79"/>
    <w:rsid w:val="00D87F1D"/>
    <w:rsid w:val="00D90276"/>
    <w:rsid w:val="00D934C6"/>
    <w:rsid w:val="00D940BF"/>
    <w:rsid w:val="00D94D0E"/>
    <w:rsid w:val="00D9620E"/>
    <w:rsid w:val="00DA10A8"/>
    <w:rsid w:val="00DA262A"/>
    <w:rsid w:val="00DA2DD8"/>
    <w:rsid w:val="00DA360A"/>
    <w:rsid w:val="00DB0540"/>
    <w:rsid w:val="00DB1E08"/>
    <w:rsid w:val="00DB2973"/>
    <w:rsid w:val="00DB6BBF"/>
    <w:rsid w:val="00DC022A"/>
    <w:rsid w:val="00DC1B56"/>
    <w:rsid w:val="00DC2129"/>
    <w:rsid w:val="00DC6570"/>
    <w:rsid w:val="00DD0698"/>
    <w:rsid w:val="00DD37FE"/>
    <w:rsid w:val="00DD3C5E"/>
    <w:rsid w:val="00DE7ACB"/>
    <w:rsid w:val="00DF25C3"/>
    <w:rsid w:val="00DF3C85"/>
    <w:rsid w:val="00E009BB"/>
    <w:rsid w:val="00E03889"/>
    <w:rsid w:val="00E04062"/>
    <w:rsid w:val="00E041EE"/>
    <w:rsid w:val="00E063C6"/>
    <w:rsid w:val="00E066BA"/>
    <w:rsid w:val="00E128DE"/>
    <w:rsid w:val="00E16901"/>
    <w:rsid w:val="00E2003B"/>
    <w:rsid w:val="00E202D2"/>
    <w:rsid w:val="00E203C2"/>
    <w:rsid w:val="00E23694"/>
    <w:rsid w:val="00E279D8"/>
    <w:rsid w:val="00E313CB"/>
    <w:rsid w:val="00E319B1"/>
    <w:rsid w:val="00E358C1"/>
    <w:rsid w:val="00E35930"/>
    <w:rsid w:val="00E36D1A"/>
    <w:rsid w:val="00E36F0E"/>
    <w:rsid w:val="00E3744A"/>
    <w:rsid w:val="00E41D8B"/>
    <w:rsid w:val="00E43EB9"/>
    <w:rsid w:val="00E44688"/>
    <w:rsid w:val="00E44E0D"/>
    <w:rsid w:val="00E5492F"/>
    <w:rsid w:val="00E5619C"/>
    <w:rsid w:val="00E57D34"/>
    <w:rsid w:val="00E621FA"/>
    <w:rsid w:val="00E62DEF"/>
    <w:rsid w:val="00E7044E"/>
    <w:rsid w:val="00E70A86"/>
    <w:rsid w:val="00E70FF1"/>
    <w:rsid w:val="00E711A5"/>
    <w:rsid w:val="00E7242E"/>
    <w:rsid w:val="00E72574"/>
    <w:rsid w:val="00E730D2"/>
    <w:rsid w:val="00E75D66"/>
    <w:rsid w:val="00E76C5E"/>
    <w:rsid w:val="00E774A6"/>
    <w:rsid w:val="00E777EC"/>
    <w:rsid w:val="00E80FCD"/>
    <w:rsid w:val="00E82061"/>
    <w:rsid w:val="00E840BF"/>
    <w:rsid w:val="00E87279"/>
    <w:rsid w:val="00E91891"/>
    <w:rsid w:val="00E921F4"/>
    <w:rsid w:val="00E9306A"/>
    <w:rsid w:val="00EA4773"/>
    <w:rsid w:val="00EA7F2F"/>
    <w:rsid w:val="00EB1FD4"/>
    <w:rsid w:val="00EB5CF3"/>
    <w:rsid w:val="00EB781E"/>
    <w:rsid w:val="00EC00DE"/>
    <w:rsid w:val="00EC2CEE"/>
    <w:rsid w:val="00EC30E1"/>
    <w:rsid w:val="00EC37BB"/>
    <w:rsid w:val="00EC7502"/>
    <w:rsid w:val="00ED172A"/>
    <w:rsid w:val="00ED35C4"/>
    <w:rsid w:val="00ED3F02"/>
    <w:rsid w:val="00ED4A63"/>
    <w:rsid w:val="00ED5ED4"/>
    <w:rsid w:val="00ED5F51"/>
    <w:rsid w:val="00EE098A"/>
    <w:rsid w:val="00EE2B87"/>
    <w:rsid w:val="00EE4FF7"/>
    <w:rsid w:val="00EE5D7A"/>
    <w:rsid w:val="00EF03FD"/>
    <w:rsid w:val="00EF5CF8"/>
    <w:rsid w:val="00F003B6"/>
    <w:rsid w:val="00F00458"/>
    <w:rsid w:val="00F01892"/>
    <w:rsid w:val="00F053D3"/>
    <w:rsid w:val="00F06C88"/>
    <w:rsid w:val="00F10F90"/>
    <w:rsid w:val="00F11F6C"/>
    <w:rsid w:val="00F14036"/>
    <w:rsid w:val="00F14BEC"/>
    <w:rsid w:val="00F213F2"/>
    <w:rsid w:val="00F225C5"/>
    <w:rsid w:val="00F22F4D"/>
    <w:rsid w:val="00F2384B"/>
    <w:rsid w:val="00F244E7"/>
    <w:rsid w:val="00F24DA4"/>
    <w:rsid w:val="00F2587A"/>
    <w:rsid w:val="00F273E5"/>
    <w:rsid w:val="00F279DD"/>
    <w:rsid w:val="00F27D53"/>
    <w:rsid w:val="00F27E21"/>
    <w:rsid w:val="00F31749"/>
    <w:rsid w:val="00F3420D"/>
    <w:rsid w:val="00F34404"/>
    <w:rsid w:val="00F362ED"/>
    <w:rsid w:val="00F3715D"/>
    <w:rsid w:val="00F412E4"/>
    <w:rsid w:val="00F420C8"/>
    <w:rsid w:val="00F424C2"/>
    <w:rsid w:val="00F4271F"/>
    <w:rsid w:val="00F428F2"/>
    <w:rsid w:val="00F42A4C"/>
    <w:rsid w:val="00F44DEC"/>
    <w:rsid w:val="00F456B8"/>
    <w:rsid w:val="00F45F1B"/>
    <w:rsid w:val="00F5043F"/>
    <w:rsid w:val="00F53A7F"/>
    <w:rsid w:val="00F55020"/>
    <w:rsid w:val="00F5538C"/>
    <w:rsid w:val="00F5724F"/>
    <w:rsid w:val="00F577C2"/>
    <w:rsid w:val="00F604DE"/>
    <w:rsid w:val="00F6112A"/>
    <w:rsid w:val="00F638D5"/>
    <w:rsid w:val="00F64137"/>
    <w:rsid w:val="00F70A6C"/>
    <w:rsid w:val="00F72A16"/>
    <w:rsid w:val="00F737EE"/>
    <w:rsid w:val="00F739B7"/>
    <w:rsid w:val="00F7605C"/>
    <w:rsid w:val="00F76C47"/>
    <w:rsid w:val="00F76FA8"/>
    <w:rsid w:val="00F772A8"/>
    <w:rsid w:val="00F81B68"/>
    <w:rsid w:val="00F83695"/>
    <w:rsid w:val="00F83E3D"/>
    <w:rsid w:val="00F8740D"/>
    <w:rsid w:val="00F92421"/>
    <w:rsid w:val="00F93113"/>
    <w:rsid w:val="00F952B6"/>
    <w:rsid w:val="00F95CEB"/>
    <w:rsid w:val="00FA00BC"/>
    <w:rsid w:val="00FA5D5B"/>
    <w:rsid w:val="00FA68D6"/>
    <w:rsid w:val="00FB07C2"/>
    <w:rsid w:val="00FB1E3F"/>
    <w:rsid w:val="00FB54AB"/>
    <w:rsid w:val="00FB7512"/>
    <w:rsid w:val="00FC04DA"/>
    <w:rsid w:val="00FC413E"/>
    <w:rsid w:val="00FC579A"/>
    <w:rsid w:val="00FC6D8D"/>
    <w:rsid w:val="00FC7990"/>
    <w:rsid w:val="00FD13CE"/>
    <w:rsid w:val="00FD65C0"/>
    <w:rsid w:val="00FD7547"/>
    <w:rsid w:val="00FD7C83"/>
    <w:rsid w:val="00FE204C"/>
    <w:rsid w:val="00FE2C25"/>
    <w:rsid w:val="00FE665B"/>
    <w:rsid w:val="00FF0218"/>
    <w:rsid w:val="00FF22A4"/>
    <w:rsid w:val="00FF3A82"/>
    <w:rsid w:val="00FF42B6"/>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2017"/>
    <o:shapelayout v:ext="edit">
      <o:idmap v:ext="edit" data="1"/>
    </o:shapelayout>
  </w:shapeDefaults>
  <w:decimalSymbol w:val="."/>
  <w:listSeparator w:val=","/>
  <w14:docId w14:val="1467D172"/>
  <w15:docId w15:val="{C5A2D48C-3CC3-48A1-BB54-81ADB4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D1FD4"/>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D1FD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 w:type="paragraph" w:styleId="Revision">
    <w:name w:val="Revision"/>
    <w:hidden/>
    <w:uiPriority w:val="99"/>
    <w:semiHidden/>
    <w:rsid w:val="00D76F7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0" Type="http://schemas.openxmlformats.org/officeDocument/2006/relationships/hyperlink" Target="https://blast.ncbi.nlm.nih.gov/Blast.cgi?PAGE=Proteins" TargetMode="External"/><Relationship Id="rId16" Type="http://schemas.openxmlformats.org/officeDocument/2006/relationships/footer" Target="footer1.xml"/><Relationship Id="rId24" Type="http://schemas.openxmlformats.org/officeDocument/2006/relationships/hyperlink" Target="http://publications.usp.org/" TargetMode="Externa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ao.org/docrep/009/a0691e/A0691E03.htm"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qmul.ac.uk/sbcs/iubmb/enzyme/EC3/2/1/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last.ncbi.nlm.nih.gov/Blast.cgi?PAGE=Prote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4B67C2FB-641B-49F1-9FC5-54B7027A0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3.xml><?xml version="1.0" encoding="utf-8"?>
<ds:datastoreItem xmlns:ds="http://schemas.openxmlformats.org/officeDocument/2006/customXml" ds:itemID="{84DAC8F6-A55B-41E3-B985-F4584CD9D57B}"/>
</file>

<file path=customXml/itemProps4.xml><?xml version="1.0" encoding="utf-8"?>
<ds:datastoreItem xmlns:ds="http://schemas.openxmlformats.org/officeDocument/2006/customXml" ds:itemID="{E45E52CD-EE95-4627-A751-9DAF7AAECCFE}"/>
</file>

<file path=customXml/itemProps5.xml><?xml version="1.0" encoding="utf-8"?>
<ds:datastoreItem xmlns:ds="http://schemas.openxmlformats.org/officeDocument/2006/customXml" ds:itemID="{C882F2B3-974F-4315-9ED9-0369F9C6D66C}"/>
</file>

<file path=customXml/itemProps6.xml><?xml version="1.0" encoding="utf-8"?>
<ds:datastoreItem xmlns:ds="http://schemas.openxmlformats.org/officeDocument/2006/customXml" ds:itemID="{22007E98-E3D6-4449-8F5D-92A4FA080364}"/>
</file>

<file path=customXml/itemProps7.xml><?xml version="1.0" encoding="utf-8"?>
<ds:datastoreItem xmlns:ds="http://schemas.openxmlformats.org/officeDocument/2006/customXml" ds:itemID="{F622F0EC-3FCD-467B-A7F9-9772852A795F}"/>
</file>

<file path=docProps/app.xml><?xml version="1.0" encoding="utf-8"?>
<Properties xmlns="http://schemas.openxmlformats.org/officeDocument/2006/extended-properties" xmlns:vt="http://schemas.openxmlformats.org/officeDocument/2006/docPropsVTypes">
  <Template>Normal</Template>
  <TotalTime>6636</TotalTime>
  <Pages>14</Pages>
  <Words>4769</Words>
  <Characters>29099</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33801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87</cp:revision>
  <cp:lastPrinted>2019-09-03T00:10:00Z</cp:lastPrinted>
  <dcterms:created xsi:type="dcterms:W3CDTF">2019-07-09T02:00:00Z</dcterms:created>
  <dcterms:modified xsi:type="dcterms:W3CDTF">2019-09-03T00:51:00Z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48e7a179-d25d-4b1b-b38a-82e96dfd0ba5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_dlc_DocIdItemGuid">
    <vt:lpwstr>d92c11b8-6832-4adb-aaac-2912bf4cfa5d</vt:lpwstr>
  </property>
  <property fmtid="{D5CDD505-2E9C-101B-9397-08002B2CF9AE}" pid="8" name="RecordPoint_WorkflowType">
    <vt:lpwstr>ActiveSubmitStub</vt:lpwstr>
  </property>
  <property fmtid="{D5CDD505-2E9C-101B-9397-08002B2CF9AE}" pid="9" name="RecordPoint_ActiveItemUniqueId">
    <vt:lpwstr>{8faa9b22-1765-466f-9be9-35c5cb61405c}</vt:lpwstr>
  </property>
  <property fmtid="{D5CDD505-2E9C-101B-9397-08002B2CF9AE}" pid="10" name="RecordPoint_SubmissionCompleted">
    <vt:lpwstr>2019-04-24T11:50:41.5473177+10:00</vt:lpwstr>
  </property>
  <property fmtid="{D5CDD505-2E9C-101B-9397-08002B2CF9AE}" pid="11" name="RecordPoint_RecordNumberSubmitted">
    <vt:lpwstr>R0000109061</vt:lpwstr>
  </property>
  <property fmtid="{D5CDD505-2E9C-101B-9397-08002B2CF9AE}" pid="12" name="RecordPoint_ActiveItemWebId">
    <vt:lpwstr>{6affb969-50ef-4478-b661-405445957a4c}</vt:lpwstr>
  </property>
  <property fmtid="{D5CDD505-2E9C-101B-9397-08002B2CF9AE}" pid="13" name="RecordPoint_ActiveItemSiteId">
    <vt:lpwstr>{dd95a578-5c6a-4f11-92f7-f95884d628d6}</vt:lpwstr>
  </property>
  <property fmtid="{D5CDD505-2E9C-101B-9397-08002B2CF9AE}" pid="14" name="RecordPoint_ActiveItemListId">
    <vt:lpwstr>{bd00571c-3527-4a8b-a1be-059f76ec4d17}</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